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uto"/>
        <w:ind w:firstLine="422" w:firstLineChars="200"/>
        <w:jc w:val="center"/>
        <w:rPr>
          <w:rFonts w:hint="eastAsia" w:ascii="仿宋" w:hAnsi="仿宋" w:eastAsia="仿宋" w:cs="仿宋"/>
          <w:b/>
          <w:bCs/>
          <w:szCs w:val="21"/>
        </w:rPr>
      </w:pPr>
      <w:r>
        <w:rPr>
          <w:rFonts w:hint="eastAsia" w:ascii="仿宋" w:hAnsi="仿宋" w:eastAsia="仿宋" w:cs="仿宋"/>
          <w:b/>
          <w:bCs/>
          <w:szCs w:val="21"/>
        </w:rPr>
        <w:t>广东省高等教育自学考试《金融营销学》课程考试大纲</w:t>
      </w:r>
    </w:p>
    <w:p>
      <w:pPr>
        <w:snapToGrid w:val="0"/>
        <w:spacing w:line="240" w:lineRule="auto"/>
        <w:ind w:firstLine="422" w:firstLineChars="200"/>
        <w:jc w:val="center"/>
        <w:rPr>
          <w:rFonts w:hint="eastAsia" w:ascii="仿宋" w:hAnsi="仿宋" w:eastAsia="仿宋" w:cs="仿宋"/>
          <w:szCs w:val="21"/>
        </w:rPr>
      </w:pPr>
      <w:r>
        <w:rPr>
          <w:rFonts w:hint="eastAsia" w:ascii="仿宋" w:hAnsi="仿宋" w:eastAsia="仿宋" w:cs="仿宋"/>
          <w:b/>
          <w:bCs/>
          <w:szCs w:val="21"/>
        </w:rPr>
        <w:t>（课程代码：13879）</w:t>
      </w:r>
    </w:p>
    <w:p>
      <w:pPr>
        <w:snapToGrid w:val="0"/>
        <w:spacing w:line="240" w:lineRule="auto"/>
        <w:ind w:firstLine="422" w:firstLineChars="200"/>
        <w:rPr>
          <w:rFonts w:hint="eastAsia" w:ascii="仿宋" w:hAnsi="仿宋" w:eastAsia="仿宋" w:cs="仿宋"/>
          <w:b/>
          <w:bCs/>
          <w:szCs w:val="21"/>
        </w:rPr>
      </w:pPr>
    </w:p>
    <w:p>
      <w:pPr>
        <w:snapToGrid w:val="0"/>
        <w:spacing w:line="240" w:lineRule="auto"/>
        <w:jc w:val="center"/>
        <w:rPr>
          <w:rFonts w:hint="eastAsia" w:ascii="仿宋" w:hAnsi="仿宋" w:eastAsia="仿宋" w:cs="仿宋"/>
          <w:b/>
          <w:bCs/>
          <w:szCs w:val="21"/>
        </w:rPr>
      </w:pPr>
      <w:r>
        <w:rPr>
          <w:rFonts w:hint="eastAsia" w:ascii="仿宋" w:hAnsi="仿宋" w:eastAsia="仿宋" w:cs="仿宋"/>
          <w:b/>
          <w:bCs/>
          <w:szCs w:val="21"/>
        </w:rPr>
        <w:t>Ⅰ  课程性质与课程目标</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一、课程性质和特点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金融营销学是研究金融机构以满足消费者需求为中心的金融市场营销活动及其规律性的学科，即研究金融机构如何通过对金融市场的调查研究，了解市场对金融服务的需求及竞争者的动向；如何通过战略、策略的总的实施，向市场提供能比竞争对手更好地满足其需求的产品和服务，建立双方关系，实现多方目的。</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二、课程目标</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金融营销学课程旨在培养学生对金融基础理论和基本业务有个全面的了解和认识，帮助学生树立正确的金融服务意识和全新的金融营销方法，努力提高学生的金融理论和知识素养，完善学生的知识结构，为进一步学习金融专业的其他业务课程打下比较全面的理论基础，并且还能够增强业务操作能力。自学考试者在完成本课程的学业后，应达到以下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1、理解金融营销的基本内涵，认识金融营销的数字化发展趋势；</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2、掌握金融服务产品的分类和特点，以及金融机构应该采取的营销策略；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3、在不同维度下进行金融服务产品数字化营销方案设计，以及如何在实践中对实际方案进行优化和应用。</w:t>
      </w:r>
    </w:p>
    <w:p>
      <w:pPr>
        <w:snapToGrid w:val="0"/>
        <w:spacing w:line="240" w:lineRule="auto"/>
        <w:ind w:firstLine="555"/>
        <w:rPr>
          <w:rFonts w:hint="eastAsia" w:ascii="仿宋" w:hAnsi="仿宋" w:eastAsia="仿宋" w:cs="仿宋"/>
          <w:szCs w:val="21"/>
        </w:rPr>
      </w:pPr>
      <w:r>
        <w:rPr>
          <w:rFonts w:hint="eastAsia" w:ascii="仿宋" w:hAnsi="仿宋" w:eastAsia="仿宋" w:cs="仿宋"/>
          <w:szCs w:val="21"/>
        </w:rPr>
        <w:t>三、与相关课程的联系与区别</w:t>
      </w:r>
    </w:p>
    <w:p>
      <w:pPr>
        <w:snapToGrid w:val="0"/>
        <w:spacing w:line="240" w:lineRule="auto"/>
        <w:ind w:firstLine="555"/>
        <w:rPr>
          <w:rFonts w:hint="eastAsia" w:ascii="仿宋" w:hAnsi="仿宋" w:eastAsia="仿宋" w:cs="仿宋"/>
          <w:szCs w:val="21"/>
        </w:rPr>
      </w:pPr>
      <w:r>
        <w:rPr>
          <w:rFonts w:hint="eastAsia" w:ascii="仿宋" w:hAnsi="仿宋" w:eastAsia="仿宋" w:cs="仿宋"/>
          <w:szCs w:val="21"/>
        </w:rPr>
        <w:t>金融营销学课程与金融学、市场营销等课程具有密切的关系。金融学，是金融专业的基础课程，主要讨论金融机构、工具及其在金融决策上的应用。市场营销学，是商品或服务从生产者手中移交到消费者手中的一种过程，是企业或其他组织以满足消费者需要为中心进行的一系列活动。金融营销学，则是在金融学的基础上，将金融机构和工具的特点运用到市场营销理论上，以提高金融效率。在学习金融营销学课程前，应首先学习金融学、财务管理学等相关课程，以便掌握较全面的相关基础知识，更好地帮助我们更好地学习金融营销学。</w:t>
      </w:r>
    </w:p>
    <w:p>
      <w:pPr>
        <w:snapToGrid w:val="0"/>
        <w:spacing w:line="240" w:lineRule="auto"/>
        <w:ind w:firstLine="555"/>
        <w:rPr>
          <w:rFonts w:hint="eastAsia" w:ascii="仿宋" w:hAnsi="仿宋" w:eastAsia="仿宋" w:cs="仿宋"/>
          <w:szCs w:val="21"/>
        </w:rPr>
      </w:pPr>
      <w:r>
        <w:rPr>
          <w:rFonts w:hint="eastAsia" w:ascii="仿宋" w:hAnsi="仿宋" w:eastAsia="仿宋" w:cs="仿宋"/>
          <w:szCs w:val="21"/>
        </w:rPr>
        <w:t>四、课程的重点和难点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重点：金融营销；金融营销环境；STP战略；4P/7P营销理论；金融企业内部营销；CIS战略；客户关系管理；互联网金融营销。</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难点：SWOT分析；金融服务产品生命周期各阶段的营销策略；金融服务定价策略；大数据与金融营销；金融营销方案设计。</w:t>
      </w:r>
    </w:p>
    <w:p>
      <w:pPr>
        <w:snapToGrid w:val="0"/>
        <w:spacing w:line="240" w:lineRule="auto"/>
        <w:ind w:firstLine="555"/>
        <w:rPr>
          <w:rFonts w:hint="eastAsia" w:ascii="仿宋" w:hAnsi="仿宋" w:eastAsia="仿宋" w:cs="仿宋"/>
          <w:szCs w:val="21"/>
        </w:rPr>
      </w:pPr>
    </w:p>
    <w:p>
      <w:pPr>
        <w:snapToGrid w:val="0"/>
        <w:spacing w:line="240" w:lineRule="auto"/>
        <w:jc w:val="center"/>
        <w:rPr>
          <w:rFonts w:hint="eastAsia" w:ascii="仿宋" w:hAnsi="仿宋" w:eastAsia="仿宋" w:cs="仿宋"/>
          <w:b/>
          <w:bCs/>
          <w:szCs w:val="21"/>
        </w:rPr>
      </w:pPr>
      <w:r>
        <w:rPr>
          <w:rFonts w:hint="eastAsia" w:ascii="仿宋" w:hAnsi="仿宋" w:eastAsia="仿宋" w:cs="仿宋"/>
          <w:b/>
          <w:bCs/>
          <w:szCs w:val="21"/>
        </w:rPr>
        <w:t>Ⅱ  考核目标</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本大纲在考核目标中，按照识记、领会、简单应用和综合应用四个层次规定其应达到的能力层次要求。四个能力层次是递进关系，各能力层次的含义是：</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识记：能知道有关的名词、概念、知识的意义，并能正确认识和表述。</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领会：要求在了解基本常识的基础上，把握基本概念、基本原理、基本方法，能掌握有关概念、原理、方法的区别与联系。</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简单应用：要求能够运用金融营销的基本概念、基本原理和方法，对银行、证券公司等金融机构的营销问题作简要的分析。</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综合应用：对一些重要概念、基本原理和方法熟悉和深入理解的基础上，综合相关的知识点，设计出一份较为完整的金融营销方案。</w:t>
      </w:r>
    </w:p>
    <w:p>
      <w:pPr>
        <w:snapToGrid w:val="0"/>
        <w:spacing w:line="240" w:lineRule="auto"/>
        <w:ind w:firstLine="420" w:firstLineChars="200"/>
        <w:rPr>
          <w:rFonts w:hint="eastAsia" w:ascii="仿宋" w:hAnsi="仿宋" w:eastAsia="仿宋" w:cs="仿宋"/>
          <w:szCs w:val="21"/>
        </w:rPr>
      </w:pPr>
    </w:p>
    <w:p>
      <w:pPr>
        <w:snapToGrid w:val="0"/>
        <w:spacing w:line="240" w:lineRule="auto"/>
        <w:jc w:val="center"/>
        <w:rPr>
          <w:rFonts w:hint="eastAsia" w:ascii="仿宋" w:hAnsi="仿宋" w:eastAsia="仿宋" w:cs="仿宋"/>
          <w:b/>
          <w:bCs/>
          <w:szCs w:val="21"/>
        </w:rPr>
      </w:pPr>
      <w:r>
        <w:rPr>
          <w:rFonts w:hint="eastAsia" w:ascii="仿宋" w:hAnsi="仿宋" w:eastAsia="仿宋" w:cs="仿宋"/>
          <w:b/>
          <w:bCs/>
          <w:szCs w:val="21"/>
        </w:rPr>
        <w:t>Ⅲ  课程内容与考核要求</w:t>
      </w:r>
    </w:p>
    <w:p>
      <w:pPr>
        <w:snapToGrid w:val="0"/>
        <w:spacing w:line="240" w:lineRule="auto"/>
        <w:jc w:val="center"/>
        <w:rPr>
          <w:rFonts w:hint="eastAsia" w:ascii="仿宋" w:hAnsi="仿宋" w:eastAsia="仿宋" w:cs="仿宋"/>
          <w:szCs w:val="21"/>
        </w:rPr>
      </w:pPr>
      <w:r>
        <w:rPr>
          <w:rFonts w:hint="eastAsia" w:ascii="仿宋" w:hAnsi="仿宋" w:eastAsia="仿宋" w:cs="仿宋"/>
          <w:szCs w:val="21"/>
        </w:rPr>
        <w:t>第一章  金融营销概述</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一、学习目的与要求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通过本章学习，了解金融营销的发展历程；掌握金融营销的研究问题及基本概念；掌握金融营销的7P营销组合；把握金融营销活动在新时代中国特色社会主义时期的作用和重要意义。</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二、课程内容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第一节 金融企业客户关系管理概述</w:t>
      </w:r>
    </w:p>
    <w:p>
      <w:pPr>
        <w:snapToGrid w:val="0"/>
        <w:spacing w:line="240" w:lineRule="auto"/>
        <w:ind w:firstLine="420" w:firstLineChars="200"/>
        <w:rPr>
          <w:rFonts w:hint="eastAsia" w:ascii="仿宋" w:hAnsi="仿宋" w:eastAsia="仿宋" w:cs="仿宋"/>
          <w:szCs w:val="21"/>
          <w:lang w:eastAsia="zh-CN"/>
        </w:rPr>
      </w:pPr>
      <w:r>
        <w:rPr>
          <w:rFonts w:hint="eastAsia" w:ascii="仿宋" w:hAnsi="仿宋" w:eastAsia="仿宋" w:cs="仿宋"/>
          <w:szCs w:val="21"/>
        </w:rPr>
        <w:t>1金融</w:t>
      </w:r>
      <w:r>
        <w:rPr>
          <w:rFonts w:hint="eastAsia" w:ascii="仿宋" w:hAnsi="仿宋" w:eastAsia="仿宋" w:cs="仿宋"/>
          <w:szCs w:val="21"/>
          <w:lang w:val="en-US" w:eastAsia="zh-CN"/>
        </w:rPr>
        <w:t>营销</w:t>
      </w:r>
      <w:r>
        <w:rPr>
          <w:rFonts w:hint="eastAsia" w:ascii="仿宋" w:hAnsi="仿宋" w:eastAsia="仿宋" w:cs="仿宋"/>
          <w:szCs w:val="21"/>
        </w:rPr>
        <w:t>萌芽阶段</w:t>
      </w:r>
      <w:r>
        <w:rPr>
          <w:rFonts w:hint="eastAsia" w:ascii="仿宋" w:hAnsi="仿宋" w:eastAsia="仿宋" w:cs="仿宋"/>
          <w:szCs w:val="21"/>
          <w:lang w:eastAsia="zh-CN"/>
        </w:rPr>
        <w:t>（</w:t>
      </w:r>
      <w:r>
        <w:rPr>
          <w:rFonts w:hint="eastAsia" w:ascii="仿宋" w:hAnsi="仿宋" w:eastAsia="仿宋" w:cs="仿宋"/>
          <w:szCs w:val="21"/>
          <w:lang w:val="en-US" w:eastAsia="zh-CN"/>
        </w:rPr>
        <w:t>20世纪五六十年代</w:t>
      </w:r>
      <w:r>
        <w:rPr>
          <w:rFonts w:hint="eastAsia" w:ascii="仿宋" w:hAnsi="仿宋" w:eastAsia="仿宋" w:cs="仿宋"/>
          <w:szCs w:val="21"/>
          <w:lang w:eastAsia="zh-CN"/>
        </w:rPr>
        <w:t>）</w:t>
      </w:r>
    </w:p>
    <w:p>
      <w:pPr>
        <w:snapToGrid w:val="0"/>
        <w:spacing w:line="240" w:lineRule="auto"/>
        <w:ind w:firstLine="420" w:firstLineChars="200"/>
        <w:rPr>
          <w:rFonts w:hint="eastAsia" w:ascii="仿宋" w:hAnsi="仿宋" w:eastAsia="仿宋" w:cs="仿宋"/>
          <w:szCs w:val="21"/>
          <w:lang w:eastAsia="zh-CN"/>
        </w:rPr>
      </w:pPr>
      <w:r>
        <w:rPr>
          <w:rFonts w:hint="eastAsia" w:ascii="仿宋" w:hAnsi="仿宋" w:eastAsia="仿宋" w:cs="仿宋"/>
          <w:szCs w:val="21"/>
        </w:rPr>
        <w:t>2金融营销发展阶段</w:t>
      </w:r>
      <w:r>
        <w:rPr>
          <w:rFonts w:hint="eastAsia" w:ascii="仿宋" w:hAnsi="仿宋" w:eastAsia="仿宋" w:cs="仿宋"/>
          <w:szCs w:val="21"/>
          <w:lang w:eastAsia="zh-CN"/>
        </w:rPr>
        <w:t>（</w:t>
      </w:r>
      <w:r>
        <w:rPr>
          <w:rFonts w:hint="eastAsia" w:ascii="仿宋" w:hAnsi="仿宋" w:eastAsia="仿宋" w:cs="仿宋"/>
          <w:szCs w:val="21"/>
          <w:lang w:val="en-US" w:eastAsia="zh-CN"/>
        </w:rPr>
        <w:t>20世纪七八十年代</w:t>
      </w:r>
      <w:r>
        <w:rPr>
          <w:rFonts w:hint="eastAsia" w:ascii="仿宋" w:hAnsi="仿宋" w:eastAsia="仿宋" w:cs="仿宋"/>
          <w:szCs w:val="21"/>
          <w:lang w:eastAsia="zh-CN"/>
        </w:rPr>
        <w:t>）</w:t>
      </w:r>
    </w:p>
    <w:p>
      <w:pPr>
        <w:snapToGrid w:val="0"/>
        <w:spacing w:line="240" w:lineRule="auto"/>
        <w:ind w:firstLine="420" w:firstLineChars="200"/>
        <w:rPr>
          <w:rFonts w:hint="eastAsia" w:ascii="仿宋" w:hAnsi="仿宋" w:eastAsia="仿宋" w:cs="仿宋"/>
          <w:szCs w:val="21"/>
          <w:lang w:eastAsia="zh-CN"/>
        </w:rPr>
      </w:pPr>
      <w:r>
        <w:rPr>
          <w:rFonts w:hint="eastAsia" w:ascii="仿宋" w:hAnsi="仿宋" w:eastAsia="仿宋" w:cs="仿宋"/>
          <w:szCs w:val="21"/>
        </w:rPr>
        <w:t>3金融营销成熟阶段</w:t>
      </w:r>
      <w:r>
        <w:rPr>
          <w:rFonts w:hint="eastAsia" w:ascii="仿宋" w:hAnsi="仿宋" w:eastAsia="仿宋" w:cs="仿宋"/>
          <w:szCs w:val="21"/>
          <w:lang w:eastAsia="zh-CN"/>
        </w:rPr>
        <w:t>（</w:t>
      </w:r>
      <w:r>
        <w:rPr>
          <w:rFonts w:hint="eastAsia" w:ascii="仿宋" w:hAnsi="仿宋" w:eastAsia="仿宋" w:cs="仿宋"/>
          <w:szCs w:val="21"/>
          <w:lang w:val="en-US" w:eastAsia="zh-CN"/>
        </w:rPr>
        <w:t>20世纪90年代以来</w:t>
      </w:r>
      <w:r>
        <w:rPr>
          <w:rFonts w:hint="eastAsia" w:ascii="仿宋" w:hAnsi="仿宋" w:eastAsia="仿宋" w:cs="仿宋"/>
          <w:szCs w:val="21"/>
          <w:lang w:eastAsia="zh-CN"/>
        </w:rPr>
        <w:t>）</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第二节 金融营销的含义及特征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1市场营销的含义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2金融营销的内涵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3金融营销的特点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第三节 金融营销组合策略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1产品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2价格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3分销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4促销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5人员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6过程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7有形展示</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三、考核知识点与考核要求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（一）金融营销</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识记：金融营销的概念界定、要素、特点和作用等。</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领会：市场营销与金融营销的联系与区别。</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（二）市场营销组合策略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识记：7P营销组合要素为产品、价格、分销、促销、人员、过程、有形展示。</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领会：营销组合要素的拓展。</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简单应用：金融企业如何运用7P营销理论进行营销活动。</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四、本章重点、难点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重点：金融营销的核心概念和内在逻辑；金融营销的要素和特征；4P/7P营销理论。</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难点：市场营销与金融营销的联系与区别；金融营销的发展过程。</w:t>
      </w:r>
    </w:p>
    <w:p>
      <w:pPr>
        <w:snapToGrid w:val="0"/>
        <w:spacing w:line="240" w:lineRule="auto"/>
        <w:ind w:firstLine="420" w:firstLineChars="200"/>
        <w:rPr>
          <w:rFonts w:hint="eastAsia" w:ascii="仿宋" w:hAnsi="仿宋" w:eastAsia="仿宋" w:cs="仿宋"/>
          <w:szCs w:val="21"/>
        </w:rPr>
      </w:pPr>
    </w:p>
    <w:p>
      <w:pPr>
        <w:snapToGrid w:val="0"/>
        <w:spacing w:line="240" w:lineRule="auto"/>
        <w:jc w:val="center"/>
        <w:rPr>
          <w:rFonts w:hint="eastAsia" w:ascii="仿宋" w:hAnsi="仿宋" w:eastAsia="仿宋" w:cs="仿宋"/>
          <w:szCs w:val="21"/>
        </w:rPr>
      </w:pPr>
      <w:r>
        <w:rPr>
          <w:rFonts w:hint="eastAsia" w:ascii="仿宋" w:hAnsi="仿宋" w:eastAsia="仿宋" w:cs="仿宋"/>
          <w:szCs w:val="21"/>
        </w:rPr>
        <w:t>第二章  金融营销环境分析</w:t>
      </w:r>
    </w:p>
    <w:p>
      <w:pPr>
        <w:snapToGrid w:val="0"/>
        <w:spacing w:line="240" w:lineRule="auto"/>
        <w:ind w:firstLine="420" w:firstLineChars="200"/>
        <w:jc w:val="left"/>
        <w:rPr>
          <w:rFonts w:hint="eastAsia" w:ascii="仿宋" w:hAnsi="仿宋" w:eastAsia="仿宋" w:cs="仿宋"/>
          <w:szCs w:val="21"/>
        </w:rPr>
      </w:pPr>
      <w:r>
        <w:rPr>
          <w:rFonts w:hint="eastAsia" w:ascii="仿宋" w:hAnsi="仿宋" w:eastAsia="仿宋" w:cs="仿宋"/>
          <w:szCs w:val="21"/>
        </w:rPr>
        <w:t>一、学习目的与要求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通过本章的学习，掌握金融营销环境的定义；理解金融营销环境的分类及特点；了解金融营销环境的主要构成要素及其作用机理；掌握金融营销环境的宏观分析和微观分析；了解现代金融机构通常采用的营销环境分析和评估方法。</w:t>
      </w:r>
    </w:p>
    <w:p>
      <w:pPr>
        <w:snapToGrid w:val="0"/>
        <w:spacing w:line="240" w:lineRule="auto"/>
        <w:ind w:firstLine="420" w:firstLineChars="200"/>
        <w:jc w:val="left"/>
        <w:rPr>
          <w:rFonts w:hint="eastAsia" w:ascii="仿宋" w:hAnsi="仿宋" w:eastAsia="仿宋" w:cs="仿宋"/>
          <w:szCs w:val="21"/>
        </w:rPr>
      </w:pPr>
      <w:r>
        <w:rPr>
          <w:rFonts w:hint="eastAsia" w:ascii="仿宋" w:hAnsi="仿宋" w:eastAsia="仿宋" w:cs="仿宋"/>
          <w:szCs w:val="21"/>
        </w:rPr>
        <w:t>二、课程内容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第一节 金融营销环境及特点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1金融营销环境的内涵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2金融营销环境的特点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第二节 影响金融营销的宏观环境分析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 PESTN分析法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 SWOT分析法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第三节 影响金融业营销的微观环境分析</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1金融业客户需求与行为分析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2金融业竞争者分析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三、考核知识点与考核要求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（一）金融营销环境分析的相关概念</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识记：金融营销环境的定义、分类和特点。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领会：金融营销环境分析的重要性。</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（二）金融营销宏观环境分析</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识记：政治环境、经济环境、社会文化环境、技术环境和自然环境等。</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领会：PESTN分析法；SWOT分析法。</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简单应用：对现实金融营销环境的简单评估；举例说明应对现实营销环境变化的战略调整。</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（三）金融营销微观环境分析</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识记：客户、竞争者、企业自身、中间商、社会公众、媒体等。</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领会：客户需求分析；竞争者分析。</w:t>
      </w:r>
    </w:p>
    <w:p>
      <w:pPr>
        <w:snapToGrid w:val="0"/>
        <w:spacing w:line="240" w:lineRule="auto"/>
        <w:ind w:firstLine="555"/>
        <w:jc w:val="left"/>
        <w:rPr>
          <w:rFonts w:hint="eastAsia" w:ascii="仿宋" w:hAnsi="仿宋" w:eastAsia="仿宋" w:cs="仿宋"/>
          <w:szCs w:val="21"/>
        </w:rPr>
      </w:pPr>
      <w:r>
        <w:rPr>
          <w:rFonts w:hint="eastAsia" w:ascii="仿宋" w:hAnsi="仿宋" w:eastAsia="仿宋" w:cs="仿宋"/>
          <w:szCs w:val="21"/>
        </w:rPr>
        <w:t>四、本章重点、难点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重点：金融营销环境的含义和特点；金融营销的宏观和微观环境分析；对金融营销环境的评估。</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难点：金融企业对影响环境评估的层次、过程；金融营销环境的变化及其影响分析；金融机构如何适应和利用不断变化中的营销环境。</w:t>
      </w:r>
    </w:p>
    <w:p>
      <w:pPr>
        <w:snapToGrid w:val="0"/>
        <w:spacing w:line="240" w:lineRule="auto"/>
        <w:ind w:firstLine="570"/>
        <w:rPr>
          <w:rFonts w:hint="eastAsia" w:ascii="仿宋" w:hAnsi="仿宋" w:eastAsia="仿宋" w:cs="仿宋"/>
          <w:szCs w:val="21"/>
        </w:rPr>
      </w:pPr>
    </w:p>
    <w:p>
      <w:pPr>
        <w:snapToGrid w:val="0"/>
        <w:spacing w:line="240" w:lineRule="auto"/>
        <w:jc w:val="center"/>
        <w:rPr>
          <w:rFonts w:hint="eastAsia" w:ascii="仿宋" w:hAnsi="仿宋" w:eastAsia="仿宋" w:cs="仿宋"/>
          <w:szCs w:val="21"/>
        </w:rPr>
      </w:pPr>
      <w:r>
        <w:rPr>
          <w:rFonts w:hint="eastAsia" w:ascii="仿宋" w:hAnsi="仿宋" w:eastAsia="仿宋" w:cs="仿宋"/>
          <w:szCs w:val="21"/>
        </w:rPr>
        <w:t>第三章  金融服务目标市场营销</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一、学习目的与要求</w:t>
      </w:r>
    </w:p>
    <w:p>
      <w:pPr>
        <w:snapToGrid w:val="0"/>
        <w:spacing w:line="240" w:lineRule="auto"/>
        <w:ind w:firstLine="420"/>
        <w:rPr>
          <w:rFonts w:hint="eastAsia" w:ascii="仿宋" w:hAnsi="仿宋" w:eastAsia="仿宋" w:cs="仿宋"/>
          <w:szCs w:val="21"/>
        </w:rPr>
      </w:pPr>
      <w:r>
        <w:rPr>
          <w:rFonts w:hint="eastAsia" w:ascii="仿宋" w:hAnsi="仿宋" w:eastAsia="仿宋" w:cs="仿宋"/>
          <w:szCs w:val="21"/>
        </w:rPr>
        <w:t>通过本章学习，了解STP战略（细分市场、选择目标市场和市场定位）的基本内容、步骤和分析框架；掌握市场细分的基本含义，理解其原理和主要依据；掌握评估和选择目标市场的基本方法；熟悉运用市场定位的概念和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二、课程内容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第一节 金融市场细分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1金融市场细分的内涵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2金融市场细分的方法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第二节 金融目标市场的选择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1目标市场的选择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2目标市场策略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第三节 金融企业的目标市场定位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1目标市场定位概述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2目标市场定位的程序与方法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3目标市场定位的三种基本战略选择</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三、考核知识点与考核要求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（一）金融市场细分</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识记：金融市场细分的含义、层次和作用。</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领会：金融市场细分的方法和程序。</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简单应用：市场细分有效性评估。</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（二）金融目标市场</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识记：目标市场的概念；目标市场选择的依据。</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领会：无差异性目标市场策略；差异性目标市场策略；集中性目标市场策略。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（三）金融企业目标市场定位</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识记：目标市场定位的含义、主要内容和定位战略。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领会：目标市场定位的程序和方法；成本领先战略；集中化战略；差异化战略。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综合应用：金融机构市场定位的案例分析；数字化时代下金融机构市场定位的变化。</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四、本章重点、难点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重点：STP战略；金融市场细分的含义、层次、作用、方法和程序；金融目标市场的概念、选择依据和策略；金融市场定位的含义、内容、程序、方法和战略。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难点：STP战略的优势；金融市场细分分类标准；目标市场策略的含义和异同；常用的市场定位策略。</w:t>
      </w:r>
    </w:p>
    <w:p>
      <w:pPr>
        <w:snapToGrid w:val="0"/>
        <w:spacing w:line="240" w:lineRule="auto"/>
        <w:ind w:firstLine="570"/>
        <w:rPr>
          <w:rFonts w:hint="eastAsia" w:ascii="仿宋" w:hAnsi="仿宋" w:eastAsia="仿宋" w:cs="仿宋"/>
          <w:szCs w:val="21"/>
        </w:rPr>
      </w:pPr>
    </w:p>
    <w:p>
      <w:pPr>
        <w:snapToGrid w:val="0"/>
        <w:spacing w:line="240" w:lineRule="auto"/>
        <w:jc w:val="center"/>
        <w:rPr>
          <w:rFonts w:hint="eastAsia" w:ascii="仿宋" w:hAnsi="仿宋" w:eastAsia="仿宋" w:cs="仿宋"/>
          <w:szCs w:val="21"/>
        </w:rPr>
      </w:pPr>
      <w:r>
        <w:rPr>
          <w:rFonts w:hint="eastAsia" w:ascii="仿宋" w:hAnsi="仿宋" w:eastAsia="仿宋" w:cs="仿宋"/>
          <w:szCs w:val="21"/>
        </w:rPr>
        <w:t>第四章  金融服务产品策略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一、学习目的与要求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通过本章学习，掌握金融服务产品的基本概念、特征、分类；了解金融服务产品组合的概念、组合策略；了解金融服务产品在不同生命周期的营销策略；掌握金融服务新产品的开发策略、开发程序；了解金融服务产品的品牌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二、课程内容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第一节 金融服务产品的内涵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1金融服务产品的概念与特征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2金融服务产品的分类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3金融服务产品层次划分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第二节 金融服务产品组合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1金融服务产品组合的概念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2金融服务产品的组合策略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第三节 金融服务产品生命周期与营销策略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1金融服务产品生命周期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2金融服务产品生命周期各阶段的营销策略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第四节 金融服务新产品开发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1金融服务新产品的含义和种类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2金融服务新产品的开发策略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3金融服务新产品的开发程序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第五节 金融服务产品的品牌策略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1金融服务产品品牌的基本概念和作用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2金融机构的产品品牌策略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三、考核知识点与考核要求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（一）金融服务产品</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识记：金融服务产品的概念和特征。</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领会：金融服务产品的分类和层次。</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（二）产品组合</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识记：金融服务产品组合的定义。</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领会：金融服务产品的组合策略。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（三）产品生命周期</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识记：金融服务产品生命周期的含义和阶段特征。</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领会：金融服务产品生命周期各阶段的营销策略。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综合应用：基于产品生命周期理论的金融营销案例分析。</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（四）新产品开发</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识记：金融服务新产品的含义和种类。</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领会：金融服务新产品的开发策略、开发程序。</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（五）品牌策略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识记：金融服务产品品牌的含义和作用。</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领会：金融服务产品品牌策略。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四、本章重点、难点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重点：金融服务产品的相关概念；金融服务产品组合；产品生命周期理论；新产品开发；品牌策略。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难点：金融服务产品组合策略；基于产品生命周期各阶段的金融营销策略；金融服务新产品开发策略；金融机构的产品品牌策略。</w:t>
      </w:r>
    </w:p>
    <w:p>
      <w:pPr>
        <w:snapToGrid w:val="0"/>
        <w:spacing w:line="240" w:lineRule="auto"/>
        <w:ind w:firstLine="420" w:firstLineChars="200"/>
        <w:rPr>
          <w:rFonts w:hint="eastAsia" w:ascii="仿宋" w:hAnsi="仿宋" w:eastAsia="仿宋" w:cs="仿宋"/>
          <w:szCs w:val="21"/>
        </w:rPr>
      </w:pPr>
    </w:p>
    <w:p>
      <w:pPr>
        <w:snapToGrid w:val="0"/>
        <w:spacing w:line="240" w:lineRule="auto"/>
        <w:jc w:val="center"/>
        <w:rPr>
          <w:rFonts w:hint="eastAsia" w:ascii="仿宋" w:hAnsi="仿宋" w:eastAsia="仿宋" w:cs="仿宋"/>
          <w:szCs w:val="21"/>
        </w:rPr>
      </w:pPr>
      <w:r>
        <w:rPr>
          <w:rFonts w:hint="eastAsia" w:ascii="仿宋" w:hAnsi="仿宋" w:eastAsia="仿宋" w:cs="仿宋"/>
          <w:szCs w:val="21"/>
        </w:rPr>
        <w:t>第五章 金融服务定价策略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一、学习目的与要求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通过本章学习，掌握金融服务定价的方法；掌握金融服务定价的策略；熟悉金融服务定价的目标；了解金融服务定价的特殊性；了解金融服务定价的影响因素。</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二、课程内容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第一节 金融服务定价的目标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1实现利润最大化</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2巩固和提高市场占有率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3应对同业竞争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4提高金融服务质量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5树立品牌形象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第二节 金融服务定价的影响因素</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1成本因素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2市场需求因素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3市场竞争因素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4其他因素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第三节 金融服务定价的方法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1成本导向定价法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2需求导向定价法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3竞争导向定价法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第四节 金融服务定价的主要策略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1心理定价策略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2撇脂定价策略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3渗透定价策略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4折扣定价策略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5关系定价策略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三、考核知识点与考核要求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（一）定价目标</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识记：实现利润最大化；巩固和提高市场占有率；应对同业竞争；提高金融服务质量；树立品牌形象。</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（二）定价影响因素</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识记：成本因素；市场需求因素；市场竞争因素；其他因素。</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领会：需求收入弹性；需求价格弹性；需求交叉弹性。</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（三）定价方法</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领会：成本导向定价法（包括成本加成定价法、目标利润定价法和盈亏平衡定价法）；需求导向定价法（包括感受价值定价法、需求差别定价法）；竞争导向定价法（包括随行就市定价法、竞争价格定价法）。</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（四）定价策略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领会：心理定价策略（包括尾数定价策略、整数定价策略、声望定价策略和招徕定价策略）；撇脂定价策略；渗透定价策略；折扣定价策略；关系定价策略。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简单应用：结合特定金融企业进行金融服务定价的策略设计。</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四、本章重点、难点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重点：金融服务产品的定价目标；金融服务产品的定价方法；金融服务产品的定价策略。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难点：成本导向定价方法；需求导向定价方法；竞争导向定价方法；心理定价策略；撇脂定价策略；渗透定价策略；折扣定价策略；关系定价策略。</w:t>
      </w:r>
    </w:p>
    <w:p>
      <w:pPr>
        <w:snapToGrid w:val="0"/>
        <w:spacing w:line="240" w:lineRule="auto"/>
        <w:ind w:firstLine="420" w:firstLineChars="200"/>
        <w:rPr>
          <w:rFonts w:hint="eastAsia" w:ascii="仿宋" w:hAnsi="仿宋" w:eastAsia="仿宋" w:cs="仿宋"/>
          <w:szCs w:val="21"/>
        </w:rPr>
      </w:pPr>
    </w:p>
    <w:p>
      <w:pPr>
        <w:snapToGrid w:val="0"/>
        <w:spacing w:line="240" w:lineRule="auto"/>
        <w:jc w:val="center"/>
        <w:rPr>
          <w:rFonts w:hint="eastAsia" w:ascii="仿宋" w:hAnsi="仿宋" w:eastAsia="仿宋" w:cs="仿宋"/>
          <w:szCs w:val="21"/>
        </w:rPr>
      </w:pPr>
      <w:r>
        <w:rPr>
          <w:rFonts w:hint="eastAsia" w:ascii="仿宋" w:hAnsi="仿宋" w:eastAsia="仿宋" w:cs="仿宋"/>
          <w:szCs w:val="21"/>
        </w:rPr>
        <w:t>第六章 金融服务分销渠道策略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一、学习目的与要求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通过本章学习，熟悉金融服务分销渠道的类型；掌握金融分销渠道的选择与拓展；了解金融分销渠道的新发展。</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二、课程内容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第一节 金融服务分销渠道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1金融服务分销渠道概述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2金融服务分销渠道的类型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3金融机构直接分销渠道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4金融机构间接分销渠道</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第二节 金融服务分销渠道的选择与拓展</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1金融服务分销渠道决策的基本原则</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2影响金融服务分销渠道选择的因素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3金融机构分销渠道的拓展</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第三节 金融服务分销渠道的新发展</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1网上银行分销策略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2电话商业银行</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3销售点终端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4企业银行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5互联网应用平台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三、考核知识点与考核要求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（一）分销渠道</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识记：分销渠道的基本含义和类型。</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领会：金融机构的直接和间接分销渠道。</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（二）分销渠道的选择与拓展</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识记：分销渠道选择的原则和影响因素；分销渠道拓展。</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（三）分销渠道的新发展</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领会：网上银行分销渠道；电话商业银行；销售点终端；企业银行；互联网应用平台。</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简单应用：金融服务分销渠道的最新发展趋势。</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四、本章重点、难点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重点：分销渠道的相关概念；分销渠道的类型；分销渠道拓展；金融市场营销预测方法。</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难点：分销渠道的选择；各种分销渠道的优缺点和适用性；数字化时代下金融服务分销渠道的新发展。</w:t>
      </w:r>
    </w:p>
    <w:p>
      <w:pPr>
        <w:snapToGrid w:val="0"/>
        <w:spacing w:line="240" w:lineRule="auto"/>
        <w:ind w:firstLine="420" w:firstLineChars="200"/>
        <w:rPr>
          <w:rFonts w:hint="eastAsia" w:ascii="仿宋" w:hAnsi="仿宋" w:eastAsia="仿宋" w:cs="仿宋"/>
          <w:szCs w:val="21"/>
        </w:rPr>
      </w:pPr>
    </w:p>
    <w:p>
      <w:pPr>
        <w:snapToGrid w:val="0"/>
        <w:spacing w:line="240" w:lineRule="auto"/>
        <w:jc w:val="center"/>
        <w:rPr>
          <w:rFonts w:hint="eastAsia" w:ascii="仿宋" w:hAnsi="仿宋" w:eastAsia="仿宋" w:cs="仿宋"/>
          <w:szCs w:val="21"/>
        </w:rPr>
      </w:pPr>
      <w:r>
        <w:rPr>
          <w:rFonts w:hint="eastAsia" w:ascii="仿宋" w:hAnsi="仿宋" w:eastAsia="仿宋" w:cs="仿宋"/>
          <w:szCs w:val="21"/>
        </w:rPr>
        <w:t>第七章 金融服务的沟通与促销</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一、学习目的与要求</w:t>
      </w:r>
    </w:p>
    <w:p>
      <w:pPr>
        <w:snapToGrid w:val="0"/>
        <w:spacing w:line="240" w:lineRule="auto"/>
        <w:ind w:firstLine="420" w:firstLineChars="200"/>
        <w:rPr>
          <w:rFonts w:hint="eastAsia" w:ascii="仿宋" w:hAnsi="仿宋" w:eastAsia="仿宋" w:cs="仿宋"/>
          <w:szCs w:val="21"/>
        </w:rPr>
      </w:pPr>
      <w:bookmarkStart w:id="0" w:name="_Hlk169637002"/>
      <w:r>
        <w:rPr>
          <w:rFonts w:hint="eastAsia" w:ascii="仿宋" w:hAnsi="仿宋" w:eastAsia="仿宋" w:cs="仿宋"/>
          <w:szCs w:val="21"/>
        </w:rPr>
        <w:t>通过本章学习，了解金融服务沟通的目标；掌握金融服务促销的影响因素和决策过程；掌握金融服务人员促销的形式；掌握金融服务广告促销的策略；掌握金融服务营业推广的工具；掌握金融服务公关促销的方法。</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二、课程内容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第一节 金融服务沟通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1金融服务沟通的概念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2金融服务沟通的目标</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3金融服务沟通策略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第二节 金融服务促销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1金融服务促销概述</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2金融服务促销的意义</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3金融服务促销的影响因素</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4金融服务促销决策的实施过程</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第三节 金融服务促销组合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1人员促销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2</w:t>
      </w:r>
      <w:bookmarkStart w:id="1" w:name="_Hlk169688265"/>
      <w:r>
        <w:rPr>
          <w:rFonts w:hint="eastAsia" w:ascii="仿宋" w:hAnsi="仿宋" w:eastAsia="仿宋" w:cs="仿宋"/>
          <w:szCs w:val="21"/>
        </w:rPr>
        <w:t xml:space="preserve">广告促销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3营业推广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4公关促销 </w:t>
      </w:r>
    </w:p>
    <w:bookmarkEnd w:id="1"/>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三、考核知识点与考核要求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（一）金融服务沟通</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识记：金融服务沟通的概念、目标和策略。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（二）金融服务促销</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识记：金融服务促销的概念、特点、意义和影响因素。</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领会：金融服务促销的实施过程。</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简单应用：金融服务促销实施过程的案例分析。</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（三）金融服务促销组合</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识记：人员促销；广告促销；营业推广；公关促销。</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领会：各种促销方式的形式、优缺点和适用性。</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四、本章重点、难点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重点：金融服务促销的相关概念；金融服务促销策略；金融服务促销方式。</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难点：人员促销、广告促销、营业推广、公关促销等方式的形式、优缺点和适用性。</w:t>
      </w:r>
      <w:bookmarkEnd w:id="0"/>
    </w:p>
    <w:p>
      <w:pPr>
        <w:snapToGrid w:val="0"/>
        <w:spacing w:line="240" w:lineRule="auto"/>
        <w:ind w:firstLine="420" w:firstLineChars="200"/>
        <w:rPr>
          <w:rFonts w:hint="eastAsia" w:ascii="仿宋" w:hAnsi="仿宋" w:eastAsia="仿宋" w:cs="仿宋"/>
          <w:szCs w:val="21"/>
        </w:rPr>
      </w:pPr>
    </w:p>
    <w:p>
      <w:pPr>
        <w:snapToGrid w:val="0"/>
        <w:spacing w:line="240" w:lineRule="auto"/>
        <w:jc w:val="center"/>
        <w:rPr>
          <w:rFonts w:hint="eastAsia" w:ascii="仿宋" w:hAnsi="仿宋" w:eastAsia="仿宋" w:cs="仿宋"/>
          <w:szCs w:val="21"/>
        </w:rPr>
      </w:pPr>
      <w:r>
        <w:rPr>
          <w:rFonts w:hint="eastAsia" w:ascii="仿宋" w:hAnsi="仿宋" w:eastAsia="仿宋" w:cs="仿宋"/>
          <w:szCs w:val="21"/>
        </w:rPr>
        <w:t>第八章 金融企业服务人员管理策略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一、学习目的与要求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通过本章学习，掌握金融企业开展内部营销的手段；掌握金融企业内部营销成功的前提；掌握金融企业内部营销的活动内容；熟悉内部营销的概念及管理过程；了解金融企业服务人员的地位和重要性。</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二、课程内容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第一节 金融企业服务人员的地位与利润链</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1金融企业服务人员的地位</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2金融企业服务人员的重要性</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3金融企业内部营销及服务利润链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第二节 金融企业内部营销及成功的前提</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1建立顾客导向的内部营销战略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2打造金融企业内部文化</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3有效的组织支持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4合理的内部市场调研和内部市场细分</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5技术支持</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第三节 金融企业内部营销体系的构建</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1内部市场调研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2内部市场细分</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3招聘、教育和培训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4激励与认同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5授权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6沟通</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7团队和集体协作</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三、考核知识点与考核要求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（一）金融企业服务人员</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识记：金融企业服务人员的重要性，内部营销概念。</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领会：服务利润链理论。</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简单应用：服务利润链理论在金融企业的应用。</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（二）内部营销前提</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识记：内部营销战略；打造企业内部文化；有效的组织支持；合理的内部市场调研和内部市场细分；技术支持。</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（三）内部营销体系</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识记：内部市场调研；内部市场细分；招聘、教育和培训；激励与认同；授权；沟通；团队和集体协作。</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综合应用：金融产品风险的评估。</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四、本章重点、难点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重点：金融企业服务人员的重要性；内部营销及其成功前提；金融内部营销体系构建。</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难点：金融企业服务人员的地位变化；服务利润链理论；内部营销战略。</w:t>
      </w:r>
    </w:p>
    <w:p>
      <w:pPr>
        <w:snapToGrid w:val="0"/>
        <w:spacing w:line="240" w:lineRule="auto"/>
        <w:ind w:firstLine="420" w:firstLineChars="200"/>
        <w:rPr>
          <w:rFonts w:hint="eastAsia" w:ascii="仿宋" w:hAnsi="仿宋" w:eastAsia="仿宋" w:cs="仿宋"/>
          <w:szCs w:val="21"/>
        </w:rPr>
      </w:pPr>
    </w:p>
    <w:p>
      <w:pPr>
        <w:snapToGrid w:val="0"/>
        <w:spacing w:line="240" w:lineRule="auto"/>
        <w:jc w:val="center"/>
        <w:rPr>
          <w:rFonts w:hint="eastAsia" w:ascii="仿宋" w:hAnsi="仿宋" w:eastAsia="仿宋" w:cs="仿宋"/>
          <w:szCs w:val="21"/>
        </w:rPr>
      </w:pPr>
      <w:r>
        <w:rPr>
          <w:rFonts w:hint="eastAsia" w:ascii="仿宋" w:hAnsi="仿宋" w:eastAsia="仿宋" w:cs="仿宋"/>
          <w:szCs w:val="21"/>
        </w:rPr>
        <w:t>第九章 金融服务过程管理策略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一、学习目的与要求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通过本章学习，掌握金融服务过程及管理的基本内容；了解金融服务的流程设计。</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二、课程内容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第一节 金融服务过程及管理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1金融服务过程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2服务过程的分类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3金融机构服务过程的失误与补救</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4金融服务过程的改进</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第二节 金融服务流程设计</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1服务蓝图法</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2生产线法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三、考核知识点与考核要求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（一）金融服务过程</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识记：金融服务过程的基本概念；服务过程分类；金融服务过程的补救和改进。</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领会：三因素分类法；二维坐标分类法。</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简单应用：金融服务过程与其他服务过程的异同。</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（二）金融服务流程设计</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领会：服务蓝图法；生产线法。</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综合应用：基于某金融行业或企业的金融服务流程设计的案例分析。</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四、本章重点、难点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重点：金融服务过程的内涵、特点及作用；金融服务过程的补救和改进。</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难点：服务过程分类方法；三因素分类法；二维坐标分类法；金融服务流程设计方法及其特点；服务蓝图法；生产线法。</w:t>
      </w:r>
    </w:p>
    <w:p>
      <w:pPr>
        <w:snapToGrid w:val="0"/>
        <w:spacing w:line="240" w:lineRule="auto"/>
        <w:ind w:firstLine="420" w:firstLineChars="200"/>
        <w:rPr>
          <w:rFonts w:hint="eastAsia" w:ascii="仿宋" w:hAnsi="仿宋" w:eastAsia="仿宋" w:cs="仿宋"/>
          <w:szCs w:val="21"/>
        </w:rPr>
      </w:pPr>
    </w:p>
    <w:p>
      <w:pPr>
        <w:snapToGrid w:val="0"/>
        <w:spacing w:line="240" w:lineRule="auto"/>
        <w:jc w:val="center"/>
        <w:rPr>
          <w:rFonts w:hint="eastAsia" w:ascii="仿宋" w:hAnsi="仿宋" w:eastAsia="仿宋" w:cs="仿宋"/>
          <w:szCs w:val="21"/>
        </w:rPr>
      </w:pPr>
      <w:r>
        <w:rPr>
          <w:rFonts w:hint="eastAsia" w:ascii="仿宋" w:hAnsi="仿宋" w:eastAsia="仿宋" w:cs="仿宋"/>
          <w:szCs w:val="21"/>
        </w:rPr>
        <w:t>第十章 金融企业的有形展示与形象设计</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一、学习目的与要求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通过本章学习，掌握了解金融服务有形展示的特点和概念；掌握金融领域CIS战略的意义。</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二、课程内容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第一节 金融企业的有形展示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1有形展示的内容与功能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2金融企业有形展示的类型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第二节 CIS战略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 CIS概述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 CIS战略的主要内容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第三节 金融企业的形象设计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1企业形象策划的基础作业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2金融企业形象的调查与分析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3 CIS设计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三、考核知识点与考核要求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（一）金融企业有形展示</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识记：有形展示的内容和功能；金融企业有形展示的类型。</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（二）CIS战略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识记：CIS的含义；CIS战略的作用和特点。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领会：CIS战略的主要内容包括理念识别（MI）、行为识别（BI）和视觉识别（VI）。</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（三）金融企业形象设计</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识记：金融企业形象设计的基础作用；金融企业形象设计的调查与分析。</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领会：CIS设计。</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综合应用：金融企业通过培养社会责任意识维护正面形象的案例分析。</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四、本章重点、难点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重点：金融企业有形展示的相关概念；CIS战略；金融企业形象设计。</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难点：金融企业有形展示的构成要素；理念识别（MI）、行为识别（BI）和视觉识别（VI）；企业社会责任。</w:t>
      </w:r>
    </w:p>
    <w:p>
      <w:pPr>
        <w:snapToGrid w:val="0"/>
        <w:spacing w:line="240" w:lineRule="auto"/>
        <w:ind w:firstLine="420" w:firstLineChars="200"/>
        <w:rPr>
          <w:rFonts w:hint="eastAsia" w:ascii="仿宋" w:hAnsi="仿宋" w:eastAsia="仿宋" w:cs="仿宋"/>
          <w:szCs w:val="21"/>
        </w:rPr>
      </w:pPr>
    </w:p>
    <w:p>
      <w:pPr>
        <w:snapToGrid w:val="0"/>
        <w:spacing w:line="240" w:lineRule="auto"/>
        <w:jc w:val="center"/>
        <w:rPr>
          <w:rFonts w:hint="eastAsia" w:ascii="仿宋" w:hAnsi="仿宋" w:eastAsia="仿宋" w:cs="仿宋"/>
          <w:szCs w:val="21"/>
        </w:rPr>
      </w:pPr>
      <w:r>
        <w:rPr>
          <w:rFonts w:hint="eastAsia" w:ascii="仿宋" w:hAnsi="仿宋" w:eastAsia="仿宋" w:cs="仿宋"/>
          <w:szCs w:val="21"/>
        </w:rPr>
        <w:t>第十一章 金融企业客户关系管理</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一、学习目的与要求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通过本章学习，了解金融企业客户关系管理的内容；掌握金融企业客户关系管理的实施过程；了解金融服务中的“一对一”营销。</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第一节 客户关系管理及特点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1客户关系管理的内涵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2金融企业实施客户关系管理的优势</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3金融企业客户关系管理的内容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第二节 金融企业客户关系管理系统的实施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1建立客户数据库</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2客户评价与分级管理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3客户满意与忠诚管理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第三节 金融服务“一对一”营销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1“一对一"营销的内涵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2“一对一”营销的过程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3金融企业“一对一"营销的意义</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三、考核知识点与考核要求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（一）客户关系管理</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识记：客户关系管理的内涵；实施客户关系管理的作用。</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领会：客户关系管理的内容。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（二）客户关系管理系统</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识记：客户关系管理系统的主要内容。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领会：建立客户数据库；客户评价与分级体系；客户满意与忠诚管理。</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（三）“一对一”营销</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识记：“一对一”营销的内涵、过程和意义。</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综合应用：金融企业实施“一对一”营销的案例分析。</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四、本章重点、难点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重点：客户关系管理的相关概念；客户关系管理系统；“一对一”营销。</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难点：客户关系管理的重要性；数字化时代为客户关系管理带来的便利；客户关系管理系统的基本构架；“一对一”营销实现的前提基础。</w:t>
      </w:r>
    </w:p>
    <w:p>
      <w:pPr>
        <w:snapToGrid w:val="0"/>
        <w:spacing w:line="240" w:lineRule="auto"/>
        <w:ind w:firstLine="420" w:firstLineChars="200"/>
        <w:rPr>
          <w:rFonts w:hint="eastAsia" w:ascii="仿宋" w:hAnsi="仿宋" w:eastAsia="仿宋" w:cs="仿宋"/>
          <w:szCs w:val="21"/>
        </w:rPr>
      </w:pPr>
    </w:p>
    <w:p>
      <w:pPr>
        <w:snapToGrid w:val="0"/>
        <w:spacing w:line="240" w:lineRule="auto"/>
        <w:jc w:val="center"/>
        <w:rPr>
          <w:rFonts w:hint="eastAsia" w:ascii="仿宋" w:hAnsi="仿宋" w:eastAsia="仿宋" w:cs="仿宋"/>
          <w:szCs w:val="21"/>
        </w:rPr>
      </w:pPr>
      <w:r>
        <w:rPr>
          <w:rFonts w:hint="eastAsia" w:ascii="仿宋" w:hAnsi="仿宋" w:eastAsia="仿宋" w:cs="仿宋"/>
          <w:szCs w:val="21"/>
        </w:rPr>
        <w:t>第十二章 金融营销的发展趋势</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一、学习目的与要求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什么是互联网金融？互联网金融下金融营销该如何创新？通过本章学习，了解互联网金融营销的类型与策略；掌握全球化金融营销；掌握体验营销的特点和方式。</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第一节 互联网金融营销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1互联网对金融营销的改变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2互联网金融产品</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3互联网金融机构与平台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4互联网金融营销策略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第二节 全球化金融营销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1全球化金融营销背景及原因</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2金融服务全球化战略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第三节 金融体验营销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1金融体验营销的内涵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2体验营销的主要内容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3金融体验营销工具 </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三、考核知识点与考核要求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（一）互联网金融</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识记：互联网金融的基本概念、主要特征；互联网金融产品；互联网金融机构与平台。</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领会：互联网金融营销策略。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简单应用：互联网金融的最新发展和未来趋势。</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（二）全球化金融营销</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识记：全球化金融营销的背景及原因。</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领会：金融服务全球化战略。</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（三）金融体验营销</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识记：金融体验营销的概念、特点和作用。</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领会：体验营销的主要内容；金融体验营销工具。</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四、本章重点、难点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重点：互联网金融；互联网金融营销策略；全球化金融营销；金融服务全球化战略；体验营销；金融体验营销工具。</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难点：互联网金融营销策略与传统金融营销策略的异同；金融服务全球化战略的注意事项；金融服务营销如何突出体验感受。</w:t>
      </w:r>
    </w:p>
    <w:p>
      <w:pPr>
        <w:snapToGrid w:val="0"/>
        <w:spacing w:line="240" w:lineRule="auto"/>
        <w:ind w:firstLine="420" w:firstLineChars="200"/>
        <w:rPr>
          <w:rFonts w:hint="eastAsia" w:ascii="仿宋" w:hAnsi="仿宋" w:eastAsia="仿宋" w:cs="仿宋"/>
          <w:szCs w:val="21"/>
        </w:rPr>
      </w:pPr>
    </w:p>
    <w:p>
      <w:pPr>
        <w:snapToGrid w:val="0"/>
        <w:spacing w:line="240" w:lineRule="auto"/>
        <w:jc w:val="center"/>
        <w:rPr>
          <w:rFonts w:hint="eastAsia" w:ascii="仿宋" w:hAnsi="仿宋" w:eastAsia="仿宋" w:cs="仿宋"/>
          <w:szCs w:val="21"/>
        </w:rPr>
      </w:pPr>
      <w:bookmarkStart w:id="2" w:name="_Hlk130979943"/>
      <w:r>
        <w:rPr>
          <w:rFonts w:hint="eastAsia" w:ascii="仿宋" w:hAnsi="仿宋" w:eastAsia="仿宋" w:cs="仿宋"/>
          <w:szCs w:val="21"/>
        </w:rPr>
        <w:t>Ⅳ  关于大纲的说明与考核实施要求</w:t>
      </w:r>
      <w:bookmarkEnd w:id="2"/>
    </w:p>
    <w:p>
      <w:pPr>
        <w:adjustRightInd w:val="0"/>
        <w:snapToGrid w:val="0"/>
        <w:spacing w:line="240" w:lineRule="auto"/>
        <w:ind w:firstLine="420" w:firstLineChars="200"/>
        <w:textAlignment w:val="baseline"/>
        <w:rPr>
          <w:rFonts w:hint="eastAsia" w:ascii="仿宋" w:hAnsi="仿宋" w:eastAsia="仿宋" w:cs="仿宋"/>
          <w:szCs w:val="21"/>
        </w:rPr>
      </w:pPr>
      <w:r>
        <w:rPr>
          <w:rFonts w:hint="eastAsia" w:ascii="仿宋" w:hAnsi="仿宋" w:eastAsia="仿宋" w:cs="仿宋"/>
          <w:szCs w:val="21"/>
        </w:rPr>
        <w:t>一、自学考试大纲的目的和作用</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课程自学考试大纲是根据专业自学考试计划的要求，结合自学考试的特点而确定。其目的是对个人自学、社会助学和课程考试命题进行指导和规定。</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adjustRightInd w:val="0"/>
        <w:snapToGrid w:val="0"/>
        <w:spacing w:line="240" w:lineRule="auto"/>
        <w:ind w:firstLine="420" w:firstLineChars="200"/>
        <w:textAlignment w:val="baseline"/>
        <w:rPr>
          <w:rFonts w:hint="eastAsia" w:ascii="仿宋" w:hAnsi="仿宋" w:eastAsia="仿宋" w:cs="仿宋"/>
          <w:szCs w:val="21"/>
        </w:rPr>
      </w:pPr>
    </w:p>
    <w:p>
      <w:pPr>
        <w:adjustRightInd w:val="0"/>
        <w:snapToGrid w:val="0"/>
        <w:spacing w:line="240" w:lineRule="auto"/>
        <w:ind w:firstLine="420" w:firstLineChars="200"/>
        <w:textAlignment w:val="baseline"/>
        <w:rPr>
          <w:rFonts w:hint="eastAsia" w:ascii="仿宋" w:hAnsi="仿宋" w:eastAsia="仿宋" w:cs="仿宋"/>
          <w:szCs w:val="21"/>
        </w:rPr>
      </w:pPr>
      <w:r>
        <w:rPr>
          <w:rFonts w:hint="eastAsia" w:ascii="仿宋" w:hAnsi="仿宋" w:eastAsia="仿宋" w:cs="仿宋"/>
          <w:szCs w:val="21"/>
        </w:rPr>
        <w:t>二、课程自学考试大纲与教材的关系</w:t>
      </w:r>
    </w:p>
    <w:p>
      <w:pPr>
        <w:pStyle w:val="2"/>
        <w:snapToGrid w:val="0"/>
        <w:spacing w:after="0" w:line="240" w:lineRule="auto"/>
        <w:ind w:left="0" w:leftChars="0" w:firstLine="420" w:firstLineChars="200"/>
        <w:rPr>
          <w:rFonts w:hint="eastAsia" w:ascii="仿宋" w:hAnsi="仿宋" w:eastAsia="仿宋" w:cs="仿宋"/>
          <w:szCs w:val="21"/>
        </w:rPr>
      </w:pPr>
      <w:r>
        <w:rPr>
          <w:rFonts w:hint="eastAsia" w:ascii="仿宋" w:hAnsi="仿宋" w:eastAsia="仿宋" w:cs="仿宋"/>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大纲与教材所体现的课程内容应基本一致；大纲里面的课程内容和考核知识点，教材里一般也要有。反过来教材里有的内容，大纲里就不一定体现。</w:t>
      </w:r>
    </w:p>
    <w:p>
      <w:pPr>
        <w:adjustRightInd w:val="0"/>
        <w:snapToGrid w:val="0"/>
        <w:spacing w:line="240" w:lineRule="auto"/>
        <w:ind w:firstLine="420" w:firstLineChars="200"/>
        <w:textAlignment w:val="baseline"/>
        <w:rPr>
          <w:rFonts w:hint="eastAsia" w:ascii="仿宋" w:hAnsi="仿宋" w:eastAsia="仿宋" w:cs="仿宋"/>
          <w:szCs w:val="21"/>
        </w:rPr>
      </w:pPr>
    </w:p>
    <w:p>
      <w:pPr>
        <w:adjustRightInd w:val="0"/>
        <w:snapToGrid w:val="0"/>
        <w:spacing w:line="240" w:lineRule="auto"/>
        <w:ind w:firstLine="420" w:firstLineChars="200"/>
        <w:textAlignment w:val="baseline"/>
        <w:rPr>
          <w:rFonts w:hint="eastAsia" w:ascii="仿宋" w:hAnsi="仿宋" w:eastAsia="仿宋" w:cs="仿宋"/>
          <w:szCs w:val="21"/>
          <w:lang w:val="en-GB"/>
        </w:rPr>
      </w:pPr>
      <w:r>
        <w:rPr>
          <w:rFonts w:hint="eastAsia" w:ascii="仿宋" w:hAnsi="仿宋" w:eastAsia="仿宋" w:cs="仿宋"/>
          <w:szCs w:val="21"/>
        </w:rPr>
        <w:t>三、关于自学教材</w:t>
      </w:r>
    </w:p>
    <w:p>
      <w:pPr>
        <w:snapToGrid w:val="0"/>
        <w:spacing w:line="240" w:lineRule="auto"/>
        <w:ind w:firstLine="420" w:firstLineChars="200"/>
        <w:rPr>
          <w:rFonts w:hint="eastAsia" w:ascii="仿宋" w:hAnsi="仿宋" w:eastAsia="仿宋" w:cs="仿宋"/>
          <w:szCs w:val="21"/>
          <w:lang w:val="en-GB"/>
        </w:rPr>
      </w:pPr>
      <w:r>
        <w:rPr>
          <w:rFonts w:hint="eastAsia" w:ascii="仿宋" w:hAnsi="仿宋" w:eastAsia="仿宋" w:cs="仿宋"/>
          <w:szCs w:val="21"/>
          <w:lang w:val="en-GB"/>
        </w:rPr>
        <w:t>《金融营销》，安贺新、张宏彦主编，清华大学出版社，2024年第2版。</w:t>
      </w:r>
    </w:p>
    <w:p>
      <w:pPr>
        <w:adjustRightInd w:val="0"/>
        <w:snapToGrid w:val="0"/>
        <w:spacing w:line="240" w:lineRule="auto"/>
        <w:ind w:firstLine="420" w:firstLineChars="200"/>
        <w:textAlignment w:val="baseline"/>
        <w:rPr>
          <w:rFonts w:hint="eastAsia" w:ascii="仿宋" w:hAnsi="仿宋" w:eastAsia="仿宋" w:cs="仿宋"/>
          <w:szCs w:val="21"/>
        </w:rPr>
      </w:pPr>
    </w:p>
    <w:p>
      <w:pPr>
        <w:adjustRightInd w:val="0"/>
        <w:snapToGrid w:val="0"/>
        <w:spacing w:line="240" w:lineRule="auto"/>
        <w:ind w:firstLine="420" w:firstLineChars="200"/>
        <w:textAlignment w:val="baseline"/>
        <w:rPr>
          <w:rFonts w:hint="eastAsia" w:ascii="仿宋" w:hAnsi="仿宋" w:eastAsia="仿宋" w:cs="仿宋"/>
          <w:szCs w:val="21"/>
        </w:rPr>
      </w:pPr>
      <w:r>
        <w:rPr>
          <w:rFonts w:hint="eastAsia" w:ascii="仿宋" w:hAnsi="仿宋" w:eastAsia="仿宋" w:cs="仿宋"/>
          <w:szCs w:val="21"/>
        </w:rPr>
        <w:t>四、关于自学要求和自学方法的指导</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为有效地指导个人自学和社会助学，本大纲已指明了课程的重点和难点，在章节的基本要求中一般也指明了章节内容的重点和难点。</w:t>
      </w:r>
    </w:p>
    <w:p>
      <w:pPr>
        <w:autoSpaceDE w:val="0"/>
        <w:snapToGrid w:val="0"/>
        <w:spacing w:line="240" w:lineRule="auto"/>
        <w:ind w:firstLine="420" w:firstLineChars="200"/>
        <w:rPr>
          <w:rFonts w:hint="eastAsia" w:ascii="仿宋" w:hAnsi="仿宋" w:eastAsia="仿宋" w:cs="仿宋"/>
          <w:szCs w:val="21"/>
        </w:rPr>
      </w:pPr>
      <w:r>
        <w:rPr>
          <w:rFonts w:hint="eastAsia" w:ascii="仿宋" w:hAnsi="仿宋" w:eastAsia="仿宋" w:cs="仿宋"/>
        </w:rPr>
        <w:t>1. 在开始阅读指定教材某一章之前，先翻阅大纲中有关这一章的考核知识及对知识点的能力层次要求和考核目标，以便在阅读教材时做到心中有数，有的放矢。此外还应充分利用网上公开课等各种教学媒体，积极主动有计划、有安排地开展自主学习。</w:t>
      </w:r>
    </w:p>
    <w:p>
      <w:pPr>
        <w:autoSpaceDE w:val="0"/>
        <w:snapToGrid w:val="0"/>
        <w:spacing w:line="240" w:lineRule="auto"/>
        <w:ind w:firstLine="420" w:firstLineChars="200"/>
        <w:rPr>
          <w:rFonts w:hint="eastAsia" w:ascii="仿宋" w:hAnsi="仿宋" w:eastAsia="仿宋" w:cs="仿宋"/>
        </w:rPr>
      </w:pPr>
      <w:r>
        <w:rPr>
          <w:rFonts w:hint="eastAsia" w:ascii="仿宋" w:hAnsi="仿宋" w:eastAsia="仿宋" w:cs="仿宋"/>
        </w:rPr>
        <w:t>2. 对概念、名词、步骤应以识记为主，对名词的内涵、影响因素、分析指标、分析方法应以领会为主，还要会应用分析指标和分析方法。在掌握基本内容的基础上再抓重点、难点，进一步巩固提高学习效果。</w:t>
      </w:r>
    </w:p>
    <w:p>
      <w:pPr>
        <w:autoSpaceDE w:val="0"/>
        <w:snapToGrid w:val="0"/>
        <w:spacing w:line="240" w:lineRule="auto"/>
        <w:ind w:firstLine="420" w:firstLineChars="200"/>
        <w:rPr>
          <w:rFonts w:hint="eastAsia" w:ascii="仿宋" w:hAnsi="仿宋" w:eastAsia="仿宋" w:cs="仿宋"/>
        </w:rPr>
      </w:pPr>
      <w:r>
        <w:rPr>
          <w:rFonts w:hint="eastAsia" w:ascii="仿宋" w:hAnsi="仿宋" w:eastAsia="仿宋" w:cs="仿宋"/>
        </w:rPr>
        <w:t>3. 在自学过程中，既要思考问题，也要做好阅读笔记，把教材中的基本概念、原理、方法等加以整理，这可从中加深对问题的认知、理解和记忆，以利于突出重点，并涵盖整个内容，可以不断提高自学能力。</w:t>
      </w:r>
    </w:p>
    <w:p>
      <w:pPr>
        <w:autoSpaceDE w:val="0"/>
        <w:snapToGrid w:val="0"/>
        <w:spacing w:line="240" w:lineRule="auto"/>
        <w:ind w:firstLine="420" w:firstLineChars="200"/>
        <w:rPr>
          <w:rFonts w:hint="eastAsia" w:ascii="仿宋" w:hAnsi="仿宋" w:eastAsia="仿宋" w:cs="仿宋"/>
        </w:rPr>
      </w:pPr>
      <w:r>
        <w:rPr>
          <w:rFonts w:hint="eastAsia" w:ascii="仿宋" w:hAnsi="仿宋" w:eastAsia="仿宋" w:cs="仿宋"/>
        </w:rPr>
        <w:t>4. 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autoSpaceDE w:val="0"/>
        <w:snapToGrid w:val="0"/>
        <w:spacing w:line="240" w:lineRule="auto"/>
        <w:ind w:firstLine="420" w:firstLineChars="200"/>
        <w:rPr>
          <w:rFonts w:hint="eastAsia" w:ascii="仿宋" w:hAnsi="仿宋" w:eastAsia="仿宋" w:cs="仿宋"/>
        </w:rPr>
      </w:pPr>
      <w:r>
        <w:rPr>
          <w:rFonts w:hint="eastAsia" w:ascii="仿宋" w:hAnsi="仿宋" w:eastAsia="仿宋" w:cs="仿宋"/>
        </w:rPr>
        <w:t>5. 注重理论联系实际。对于自考者而言，要做好应用练习。</w:t>
      </w:r>
    </w:p>
    <w:p>
      <w:pPr>
        <w:adjustRightInd w:val="0"/>
        <w:snapToGrid w:val="0"/>
        <w:spacing w:line="240" w:lineRule="auto"/>
        <w:ind w:firstLine="420" w:firstLineChars="200"/>
        <w:textAlignment w:val="baseline"/>
        <w:rPr>
          <w:rFonts w:hint="eastAsia" w:ascii="仿宋" w:hAnsi="仿宋" w:eastAsia="仿宋" w:cs="仿宋"/>
          <w:szCs w:val="21"/>
        </w:rPr>
      </w:pPr>
    </w:p>
    <w:p>
      <w:pPr>
        <w:adjustRightInd w:val="0"/>
        <w:snapToGrid w:val="0"/>
        <w:spacing w:line="240" w:lineRule="auto"/>
        <w:ind w:firstLine="420" w:firstLineChars="200"/>
        <w:textAlignment w:val="baseline"/>
        <w:rPr>
          <w:rFonts w:hint="eastAsia" w:ascii="仿宋" w:hAnsi="仿宋" w:eastAsia="仿宋" w:cs="仿宋"/>
          <w:szCs w:val="21"/>
        </w:rPr>
      </w:pPr>
      <w:r>
        <w:rPr>
          <w:rFonts w:hint="eastAsia" w:ascii="仿宋" w:hAnsi="仿宋" w:eastAsia="仿宋" w:cs="仿宋"/>
          <w:szCs w:val="21"/>
        </w:rPr>
        <w:t>五、对社会助学的要求</w:t>
      </w:r>
    </w:p>
    <w:p>
      <w:pPr>
        <w:adjustRightInd w:val="0"/>
        <w:snapToGrid w:val="0"/>
        <w:spacing w:line="240" w:lineRule="auto"/>
        <w:ind w:firstLine="420" w:firstLineChars="200"/>
        <w:textAlignment w:val="baseline"/>
        <w:rPr>
          <w:rFonts w:hint="eastAsia" w:ascii="仿宋" w:hAnsi="仿宋" w:eastAsia="仿宋" w:cs="仿宋"/>
          <w:szCs w:val="21"/>
        </w:rPr>
      </w:pPr>
      <w:r>
        <w:rPr>
          <w:rFonts w:hint="eastAsia" w:ascii="仿宋" w:hAnsi="仿宋" w:eastAsia="仿宋" w:cs="仿宋"/>
          <w:szCs w:val="21"/>
        </w:rPr>
        <w:t>1</w:t>
      </w:r>
      <w:r>
        <w:rPr>
          <w:rFonts w:hint="eastAsia" w:ascii="仿宋" w:hAnsi="仿宋" w:eastAsia="仿宋" w:cs="仿宋"/>
        </w:rPr>
        <w:t xml:space="preserve">. </w:t>
      </w:r>
      <w:r>
        <w:rPr>
          <w:rFonts w:hint="eastAsia" w:ascii="仿宋" w:hAnsi="仿宋" w:eastAsia="仿宋" w:cs="仿宋"/>
          <w:szCs w:val="21"/>
        </w:rPr>
        <w:t>应熟知考试大纲对课程所提出的总的要求和各章的知识点。</w:t>
      </w:r>
    </w:p>
    <w:p>
      <w:pPr>
        <w:adjustRightInd w:val="0"/>
        <w:snapToGrid w:val="0"/>
        <w:spacing w:line="240" w:lineRule="auto"/>
        <w:ind w:firstLine="420" w:firstLineChars="200"/>
        <w:textAlignment w:val="baseline"/>
        <w:rPr>
          <w:rFonts w:hint="eastAsia" w:ascii="仿宋" w:hAnsi="仿宋" w:eastAsia="仿宋" w:cs="仿宋"/>
          <w:szCs w:val="21"/>
        </w:rPr>
      </w:pPr>
      <w:r>
        <w:rPr>
          <w:rFonts w:hint="eastAsia" w:ascii="仿宋" w:hAnsi="仿宋" w:eastAsia="仿宋" w:cs="仿宋"/>
          <w:szCs w:val="21"/>
        </w:rPr>
        <w:t>2</w:t>
      </w:r>
      <w:r>
        <w:rPr>
          <w:rFonts w:hint="eastAsia" w:ascii="仿宋" w:hAnsi="仿宋" w:eastAsia="仿宋" w:cs="仿宋"/>
        </w:rPr>
        <w:t xml:space="preserve">. </w:t>
      </w:r>
      <w:r>
        <w:rPr>
          <w:rFonts w:hint="eastAsia" w:ascii="仿宋" w:hAnsi="仿宋" w:eastAsia="仿宋" w:cs="仿宋"/>
          <w:szCs w:val="21"/>
        </w:rPr>
        <w:t>应掌握各知识点要求达到的层次，并深刻理解各知识点的考核要求。</w:t>
      </w:r>
    </w:p>
    <w:p>
      <w:pPr>
        <w:adjustRightInd w:val="0"/>
        <w:snapToGrid w:val="0"/>
        <w:spacing w:line="240" w:lineRule="auto"/>
        <w:ind w:firstLine="420" w:firstLineChars="200"/>
        <w:textAlignment w:val="baseline"/>
        <w:rPr>
          <w:rFonts w:hint="eastAsia" w:ascii="仿宋" w:hAnsi="仿宋" w:eastAsia="仿宋" w:cs="仿宋"/>
          <w:szCs w:val="21"/>
        </w:rPr>
      </w:pPr>
      <w:r>
        <w:rPr>
          <w:rFonts w:hint="eastAsia" w:ascii="仿宋" w:hAnsi="仿宋" w:eastAsia="仿宋" w:cs="仿宋"/>
          <w:szCs w:val="21"/>
        </w:rPr>
        <w:t>3</w:t>
      </w:r>
      <w:r>
        <w:rPr>
          <w:rFonts w:hint="eastAsia" w:ascii="仿宋" w:hAnsi="仿宋" w:eastAsia="仿宋" w:cs="仿宋"/>
        </w:rPr>
        <w:t xml:space="preserve">. </w:t>
      </w:r>
      <w:r>
        <w:rPr>
          <w:rFonts w:hint="eastAsia" w:ascii="仿宋" w:hAnsi="仿宋" w:eastAsia="仿宋" w:cs="仿宋"/>
          <w:szCs w:val="21"/>
        </w:rPr>
        <w:t>辅导时，应以指定的教材为基础，以考试大纲为依据，不要随意增删内容，以免与考试大纲脱节。</w:t>
      </w:r>
    </w:p>
    <w:p>
      <w:pPr>
        <w:adjustRightInd w:val="0"/>
        <w:snapToGrid w:val="0"/>
        <w:spacing w:line="240" w:lineRule="auto"/>
        <w:ind w:firstLine="420" w:firstLineChars="200"/>
        <w:textAlignment w:val="baseline"/>
        <w:rPr>
          <w:rFonts w:hint="eastAsia" w:ascii="仿宋" w:hAnsi="仿宋" w:eastAsia="仿宋" w:cs="仿宋"/>
          <w:szCs w:val="21"/>
        </w:rPr>
      </w:pPr>
      <w:r>
        <w:rPr>
          <w:rFonts w:hint="eastAsia" w:ascii="仿宋" w:hAnsi="仿宋" w:eastAsia="仿宋" w:cs="仿宋"/>
          <w:szCs w:val="21"/>
        </w:rPr>
        <w:t>4</w:t>
      </w:r>
      <w:r>
        <w:rPr>
          <w:rFonts w:hint="eastAsia" w:ascii="仿宋" w:hAnsi="仿宋" w:eastAsia="仿宋" w:cs="仿宋"/>
        </w:rPr>
        <w:t xml:space="preserve">. </w:t>
      </w:r>
      <w:r>
        <w:rPr>
          <w:rFonts w:hint="eastAsia" w:ascii="仿宋" w:hAnsi="仿宋" w:eastAsia="仿宋" w:cs="仿宋"/>
          <w:szCs w:val="21"/>
        </w:rPr>
        <w:t>辅导时，应对学习方法进行指导，宜提倡“认真阅读教材，刻苦钻研教材，主动争取帮助，依靠自己学通”的方法。</w:t>
      </w:r>
    </w:p>
    <w:p>
      <w:pPr>
        <w:adjustRightInd w:val="0"/>
        <w:snapToGrid w:val="0"/>
        <w:spacing w:line="240" w:lineRule="auto"/>
        <w:ind w:firstLine="420" w:firstLineChars="200"/>
        <w:textAlignment w:val="baseline"/>
        <w:rPr>
          <w:rFonts w:hint="eastAsia" w:ascii="仿宋" w:hAnsi="仿宋" w:eastAsia="仿宋" w:cs="仿宋"/>
          <w:szCs w:val="21"/>
        </w:rPr>
      </w:pPr>
      <w:r>
        <w:rPr>
          <w:rFonts w:hint="eastAsia" w:ascii="仿宋" w:hAnsi="仿宋" w:eastAsia="仿宋" w:cs="仿宋"/>
          <w:szCs w:val="21"/>
        </w:rPr>
        <w:t>5</w:t>
      </w:r>
      <w:r>
        <w:rPr>
          <w:rFonts w:hint="eastAsia" w:ascii="仿宋" w:hAnsi="仿宋" w:eastAsia="仿宋" w:cs="仿宋"/>
        </w:rPr>
        <w:t xml:space="preserve">. </w:t>
      </w:r>
      <w:r>
        <w:rPr>
          <w:rFonts w:hint="eastAsia" w:ascii="仿宋" w:hAnsi="仿宋" w:eastAsia="仿宋" w:cs="仿宋"/>
          <w:szCs w:val="21"/>
        </w:rPr>
        <w:t>辅导时，要注意基础、突出重点，要帮助应考者对课程内容建立一个整体的概念，对应考者提出的问题，应以启发引导为主。</w:t>
      </w:r>
    </w:p>
    <w:p>
      <w:pPr>
        <w:adjustRightInd w:val="0"/>
        <w:snapToGrid w:val="0"/>
        <w:spacing w:line="240" w:lineRule="auto"/>
        <w:ind w:firstLine="420" w:firstLineChars="200"/>
        <w:textAlignment w:val="baseline"/>
        <w:rPr>
          <w:rFonts w:hint="eastAsia" w:ascii="仿宋" w:hAnsi="仿宋" w:eastAsia="仿宋" w:cs="仿宋"/>
          <w:szCs w:val="21"/>
        </w:rPr>
      </w:pPr>
      <w:r>
        <w:rPr>
          <w:rFonts w:hint="eastAsia" w:ascii="仿宋" w:hAnsi="仿宋" w:eastAsia="仿宋" w:cs="仿宋"/>
          <w:szCs w:val="21"/>
        </w:rPr>
        <w:t>6</w:t>
      </w:r>
      <w:r>
        <w:rPr>
          <w:rFonts w:hint="eastAsia" w:ascii="仿宋" w:hAnsi="仿宋" w:eastAsia="仿宋" w:cs="仿宋"/>
        </w:rPr>
        <w:t xml:space="preserve">. </w:t>
      </w:r>
      <w:r>
        <w:rPr>
          <w:rFonts w:hint="eastAsia" w:ascii="仿宋" w:hAnsi="仿宋" w:eastAsia="仿宋" w:cs="仿宋"/>
          <w:szCs w:val="21"/>
        </w:rPr>
        <w:t>注意对应考者能力的培养，特别是自学能力的培养，要引导应考者逐步学会独立学习， 在自学过程中善于提出问题、分析问题、做出判断和解决问题。</w:t>
      </w:r>
    </w:p>
    <w:p>
      <w:pPr>
        <w:adjustRightInd w:val="0"/>
        <w:snapToGrid w:val="0"/>
        <w:spacing w:line="240" w:lineRule="auto"/>
        <w:ind w:firstLine="420" w:firstLineChars="200"/>
        <w:textAlignment w:val="baseline"/>
        <w:rPr>
          <w:rFonts w:hint="eastAsia" w:ascii="仿宋" w:hAnsi="仿宋" w:eastAsia="仿宋" w:cs="仿宋"/>
          <w:szCs w:val="21"/>
        </w:rPr>
      </w:pPr>
      <w:r>
        <w:rPr>
          <w:rFonts w:hint="eastAsia" w:ascii="仿宋" w:hAnsi="仿宋" w:eastAsia="仿宋" w:cs="仿宋"/>
          <w:szCs w:val="21"/>
        </w:rPr>
        <w:t>7</w:t>
      </w:r>
      <w:r>
        <w:rPr>
          <w:rFonts w:hint="eastAsia" w:ascii="仿宋" w:hAnsi="仿宋" w:eastAsia="仿宋" w:cs="仿宋"/>
        </w:rPr>
        <w:t xml:space="preserve">. </w:t>
      </w:r>
      <w:r>
        <w:rPr>
          <w:rFonts w:hint="eastAsia" w:ascii="仿宋" w:hAnsi="仿宋" w:eastAsia="仿宋" w:cs="仿宋"/>
          <w:szCs w:val="21"/>
        </w:rPr>
        <w:t>要使应考者了解试题难易与能力层次高低两者不完全是一回事，在各个能力层次中都存在着不同难度的试题。</w:t>
      </w:r>
    </w:p>
    <w:p>
      <w:pPr>
        <w:adjustRightInd w:val="0"/>
        <w:snapToGrid w:val="0"/>
        <w:spacing w:line="240" w:lineRule="auto"/>
        <w:ind w:firstLine="420" w:firstLineChars="200"/>
        <w:textAlignment w:val="baseline"/>
        <w:rPr>
          <w:rFonts w:hint="eastAsia" w:ascii="仿宋" w:hAnsi="仿宋" w:eastAsia="仿宋" w:cs="仿宋"/>
          <w:szCs w:val="21"/>
        </w:rPr>
      </w:pPr>
      <w:r>
        <w:rPr>
          <w:rFonts w:hint="eastAsia" w:ascii="仿宋" w:hAnsi="仿宋" w:eastAsia="仿宋" w:cs="仿宋"/>
          <w:szCs w:val="21"/>
        </w:rPr>
        <w:t>8. 要正确处理基础知识和应用能力的关系，努力引导自学应考者将识记、领会和应用联系起来，把基础知识转化为应用能力，在全面辅导的基础上，着重培养和提高他们分析问题和解决问题的能力。</w:t>
      </w:r>
    </w:p>
    <w:p>
      <w:pPr>
        <w:adjustRightInd w:val="0"/>
        <w:snapToGrid w:val="0"/>
        <w:spacing w:line="240" w:lineRule="auto"/>
        <w:ind w:firstLine="420" w:firstLineChars="200"/>
        <w:textAlignment w:val="baseline"/>
        <w:rPr>
          <w:rFonts w:hint="eastAsia" w:ascii="仿宋" w:hAnsi="仿宋" w:eastAsia="仿宋" w:cs="仿宋"/>
          <w:szCs w:val="21"/>
        </w:rPr>
      </w:pPr>
      <w:r>
        <w:rPr>
          <w:rFonts w:hint="eastAsia" w:ascii="仿宋" w:hAnsi="仿宋" w:eastAsia="仿宋" w:cs="仿宋"/>
          <w:b w:val="0"/>
          <w:bCs w:val="0"/>
          <w:sz w:val="21"/>
          <w:szCs w:val="21"/>
          <w:lang w:val="en-US" w:eastAsia="zh-CN"/>
        </w:rPr>
        <w:t>9.</w:t>
      </w:r>
      <w:r>
        <w:rPr>
          <w:rFonts w:hint="eastAsia" w:ascii="仿宋" w:hAnsi="仿宋" w:eastAsia="仿宋" w:cs="仿宋"/>
          <w:b w:val="0"/>
          <w:bCs w:val="0"/>
          <w:sz w:val="21"/>
          <w:szCs w:val="21"/>
        </w:rPr>
        <w:t>建议每学分2-3个助学学时。</w:t>
      </w:r>
    </w:p>
    <w:p>
      <w:pPr>
        <w:adjustRightInd w:val="0"/>
        <w:snapToGrid w:val="0"/>
        <w:spacing w:line="240" w:lineRule="auto"/>
        <w:ind w:firstLine="420" w:firstLineChars="200"/>
        <w:textAlignment w:val="baseline"/>
        <w:rPr>
          <w:rFonts w:hint="eastAsia" w:ascii="仿宋" w:hAnsi="仿宋" w:eastAsia="仿宋" w:cs="仿宋"/>
          <w:szCs w:val="21"/>
        </w:rPr>
      </w:pPr>
      <w:r>
        <w:rPr>
          <w:rFonts w:hint="eastAsia" w:ascii="仿宋" w:hAnsi="仿宋" w:eastAsia="仿宋" w:cs="仿宋"/>
          <w:szCs w:val="21"/>
        </w:rPr>
        <w:t>六、对考核内容的说明</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adjustRightInd w:val="0"/>
        <w:snapToGrid w:val="0"/>
        <w:spacing w:line="240" w:lineRule="auto"/>
        <w:ind w:firstLine="420" w:firstLineChars="200"/>
        <w:textAlignment w:val="baseline"/>
        <w:rPr>
          <w:rFonts w:hint="eastAsia" w:ascii="仿宋" w:hAnsi="仿宋" w:eastAsia="仿宋" w:cs="仿宋"/>
          <w:szCs w:val="21"/>
        </w:rPr>
      </w:pPr>
    </w:p>
    <w:p>
      <w:pPr>
        <w:adjustRightInd w:val="0"/>
        <w:snapToGrid w:val="0"/>
        <w:spacing w:line="240" w:lineRule="auto"/>
        <w:ind w:firstLine="420" w:firstLineChars="200"/>
        <w:textAlignment w:val="baseline"/>
        <w:rPr>
          <w:rFonts w:hint="eastAsia" w:ascii="仿宋" w:hAnsi="仿宋" w:eastAsia="仿宋" w:cs="仿宋"/>
          <w:szCs w:val="21"/>
        </w:rPr>
      </w:pPr>
      <w:r>
        <w:rPr>
          <w:rFonts w:hint="eastAsia" w:ascii="仿宋" w:hAnsi="仿宋" w:eastAsia="仿宋" w:cs="仿宋"/>
          <w:szCs w:val="21"/>
        </w:rPr>
        <w:t>七、关于考试命题的若干规定</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1. 本课程考试为闭卷笔试，考试时间150分钟，满分100分，60分及格。</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2. 本大纲各章所规定的基本要求、知识点及知识点下的知识细目，都属于考核的内容。考试命题既要覆盖到章，又要避免面面俱到。要注意突出课程的重点、章节重点，加大重点内容的覆盖度。</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3. 命题不应有超出大纲中考核知识点范围的题，考核目标不得高于大纲中所规定的相应的最高能力层次要求。</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 xml:space="preserve">4. </w:t>
      </w:r>
      <w:bookmarkStart w:id="3" w:name="_GoBack"/>
      <w:bookmarkEnd w:id="3"/>
      <w:r>
        <w:rPr>
          <w:rFonts w:hint="eastAsia" w:ascii="仿宋" w:hAnsi="仿宋" w:eastAsia="仿宋" w:cs="仿宋"/>
          <w:b w:val="0"/>
          <w:bCs w:val="0"/>
          <w:sz w:val="21"/>
          <w:szCs w:val="21"/>
        </w:rPr>
        <w:t>本课程在试卷中对不同能力层次要求的分数比例大致为：识记占20%，领会占30%，简单应用占30%，综合应用占20%</w:t>
      </w:r>
      <w:r>
        <w:rPr>
          <w:rFonts w:hint="eastAsia" w:ascii="仿宋" w:hAnsi="仿宋" w:eastAsia="仿宋" w:cs="仿宋"/>
          <w:szCs w:val="21"/>
        </w:rPr>
        <w:t>。</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5. 要合理安排试题的难易程度，试题的难度可分为：易、较易、较难和难四个等级。每份试卷中不同难度试题的分数比例一般为：2:3:3:2。</w:t>
      </w:r>
    </w:p>
    <w:p>
      <w:pPr>
        <w:snapToGrid w:val="0"/>
        <w:spacing w:line="240" w:lineRule="auto"/>
        <w:ind w:firstLine="420" w:firstLineChars="200"/>
        <w:rPr>
          <w:rFonts w:hint="eastAsia" w:ascii="仿宋" w:hAnsi="仿宋" w:eastAsia="仿宋" w:cs="仿宋"/>
          <w:szCs w:val="21"/>
        </w:rPr>
      </w:pPr>
      <w:r>
        <w:rPr>
          <w:rFonts w:hint="eastAsia" w:ascii="仿宋" w:hAnsi="仿宋" w:eastAsia="仿宋" w:cs="仿宋"/>
          <w:szCs w:val="21"/>
        </w:rPr>
        <w:t>6. 各种题型的具体样式参见本大纲附录。</w:t>
      </w:r>
    </w:p>
    <w:p>
      <w:pPr>
        <w:snapToGrid w:val="0"/>
        <w:spacing w:line="240" w:lineRule="auto"/>
        <w:ind w:firstLine="420" w:firstLineChars="200"/>
        <w:rPr>
          <w:rFonts w:hint="eastAsia" w:ascii="仿宋" w:hAnsi="仿宋" w:eastAsia="仿宋" w:cs="仿宋"/>
          <w:szCs w:val="21"/>
        </w:rPr>
      </w:pPr>
    </w:p>
    <w:p>
      <w:pPr>
        <w:snapToGrid w:val="0"/>
        <w:spacing w:line="240" w:lineRule="auto"/>
        <w:ind w:firstLine="422" w:firstLineChars="200"/>
        <w:jc w:val="center"/>
        <w:rPr>
          <w:rFonts w:hint="eastAsia" w:ascii="仿宋" w:hAnsi="仿宋" w:eastAsia="仿宋" w:cs="仿宋"/>
          <w:b/>
          <w:bCs/>
          <w:szCs w:val="21"/>
        </w:rPr>
      </w:pPr>
      <w:r>
        <w:rPr>
          <w:rFonts w:hint="eastAsia" w:ascii="仿宋" w:hAnsi="仿宋" w:eastAsia="仿宋" w:cs="仿宋"/>
          <w:b/>
          <w:bCs/>
          <w:szCs w:val="21"/>
        </w:rPr>
        <w:t>附录 题型举例</w:t>
      </w:r>
    </w:p>
    <w:p>
      <w:pPr>
        <w:autoSpaceDE w:val="0"/>
        <w:snapToGrid w:val="0"/>
        <w:spacing w:line="240" w:lineRule="auto"/>
        <w:ind w:firstLine="420" w:firstLineChars="200"/>
        <w:rPr>
          <w:rFonts w:hint="eastAsia" w:ascii="仿宋" w:hAnsi="仿宋" w:eastAsia="仿宋" w:cs="仿宋"/>
          <w:szCs w:val="21"/>
        </w:rPr>
      </w:pPr>
      <w:r>
        <w:rPr>
          <w:rFonts w:hint="eastAsia" w:ascii="仿宋" w:hAnsi="仿宋" w:eastAsia="仿宋" w:cs="仿宋"/>
        </w:rPr>
        <w:t>一、单项选择题</w:t>
      </w:r>
    </w:p>
    <w:p>
      <w:pPr>
        <w:autoSpaceDE w:val="0"/>
        <w:snapToGrid w:val="0"/>
        <w:spacing w:line="240" w:lineRule="auto"/>
        <w:ind w:firstLine="420" w:firstLineChars="200"/>
        <w:rPr>
          <w:rFonts w:hint="eastAsia" w:ascii="仿宋" w:hAnsi="仿宋" w:eastAsia="仿宋" w:cs="仿宋"/>
        </w:rPr>
      </w:pPr>
      <w:r>
        <w:rPr>
          <w:rFonts w:hint="eastAsia" w:ascii="仿宋" w:hAnsi="仿宋" w:eastAsia="仿宋" w:cs="仿宋"/>
        </w:rPr>
        <w:t>1. 某企业在推出新产品时往往把价格定得较低，随着产品知名度的提高再逐步提价，这家公司采用的是（    ）策略。</w:t>
      </w:r>
    </w:p>
    <w:p>
      <w:pPr>
        <w:numPr>
          <w:ilvl w:val="0"/>
          <w:numId w:val="0"/>
        </w:numPr>
        <w:autoSpaceDE w:val="0"/>
        <w:snapToGrid w:val="0"/>
        <w:spacing w:line="240" w:lineRule="auto"/>
        <w:ind w:left="0" w:leftChars="0" w:firstLine="420" w:firstLineChars="200"/>
        <w:rPr>
          <w:rFonts w:hint="eastAsia" w:ascii="仿宋" w:hAnsi="仿宋" w:eastAsia="仿宋" w:cs="仿宋"/>
        </w:rPr>
      </w:pPr>
      <w:r>
        <w:rPr>
          <w:rFonts w:hint="eastAsia" w:ascii="仿宋" w:hAnsi="仿宋" w:eastAsia="仿宋" w:cs="仿宋"/>
          <w:kern w:val="2"/>
          <w:sz w:val="21"/>
          <w:szCs w:val="24"/>
          <w:lang w:val="en-US" w:eastAsia="zh-CN" w:bidi="ar-SA"/>
        </w:rPr>
        <w:t>A.</w:t>
      </w:r>
      <w:r>
        <w:rPr>
          <w:rFonts w:hint="eastAsia" w:ascii="仿宋" w:hAnsi="仿宋" w:eastAsia="仿宋" w:cs="仿宋"/>
        </w:rPr>
        <w:t>撇脂定价       B. 渗透定价     C. 弹性定价      D. 感受价值定价</w:t>
      </w:r>
    </w:p>
    <w:p>
      <w:pPr>
        <w:autoSpaceDE w:val="0"/>
        <w:snapToGrid w:val="0"/>
        <w:spacing w:line="240" w:lineRule="auto"/>
        <w:ind w:firstLine="420" w:firstLineChars="200"/>
        <w:rPr>
          <w:rFonts w:hint="eastAsia" w:ascii="仿宋" w:hAnsi="仿宋" w:eastAsia="仿宋" w:cs="仿宋"/>
        </w:rPr>
      </w:pPr>
    </w:p>
    <w:p>
      <w:pPr>
        <w:autoSpaceDE w:val="0"/>
        <w:snapToGrid w:val="0"/>
        <w:spacing w:line="240" w:lineRule="auto"/>
        <w:ind w:firstLine="420" w:firstLineChars="200"/>
        <w:rPr>
          <w:rFonts w:hint="eastAsia" w:ascii="仿宋" w:hAnsi="仿宋" w:eastAsia="仿宋" w:cs="仿宋"/>
        </w:rPr>
      </w:pPr>
      <w:r>
        <w:rPr>
          <w:rFonts w:hint="eastAsia" w:ascii="仿宋" w:hAnsi="仿宋" w:eastAsia="仿宋" w:cs="仿宋"/>
        </w:rPr>
        <w:t>二、名词解释题</w:t>
      </w:r>
    </w:p>
    <w:p>
      <w:pPr>
        <w:autoSpaceDE w:val="0"/>
        <w:snapToGrid w:val="0"/>
        <w:spacing w:line="240" w:lineRule="auto"/>
        <w:ind w:firstLine="420" w:firstLineChars="200"/>
        <w:rPr>
          <w:rFonts w:hint="eastAsia" w:ascii="仿宋" w:hAnsi="仿宋" w:eastAsia="仿宋" w:cs="仿宋"/>
        </w:rPr>
      </w:pPr>
      <w:r>
        <w:rPr>
          <w:rFonts w:hint="eastAsia" w:ascii="仿宋" w:hAnsi="仿宋" w:eastAsia="仿宋" w:cs="仿宋"/>
        </w:rPr>
        <w:t>1. 金融营销环境</w:t>
      </w:r>
    </w:p>
    <w:p>
      <w:pPr>
        <w:autoSpaceDE w:val="0"/>
        <w:snapToGrid w:val="0"/>
        <w:spacing w:line="240" w:lineRule="auto"/>
        <w:ind w:firstLine="420" w:firstLineChars="200"/>
        <w:rPr>
          <w:rFonts w:hint="eastAsia" w:ascii="仿宋" w:hAnsi="仿宋" w:eastAsia="仿宋" w:cs="仿宋"/>
        </w:rPr>
      </w:pPr>
    </w:p>
    <w:p>
      <w:pPr>
        <w:autoSpaceDE w:val="0"/>
        <w:snapToGrid w:val="0"/>
        <w:spacing w:line="240" w:lineRule="auto"/>
        <w:ind w:firstLine="420" w:firstLineChars="200"/>
        <w:rPr>
          <w:rFonts w:hint="eastAsia" w:ascii="仿宋" w:hAnsi="仿宋" w:eastAsia="仿宋" w:cs="仿宋"/>
        </w:rPr>
      </w:pPr>
      <w:r>
        <w:rPr>
          <w:rFonts w:hint="eastAsia" w:ascii="仿宋" w:hAnsi="仿宋" w:eastAsia="仿宋" w:cs="仿宋"/>
        </w:rPr>
        <w:t>三、简答题</w:t>
      </w:r>
    </w:p>
    <w:p>
      <w:pPr>
        <w:autoSpaceDE w:val="0"/>
        <w:snapToGrid w:val="0"/>
        <w:spacing w:line="240" w:lineRule="auto"/>
        <w:ind w:firstLine="420" w:firstLineChars="200"/>
        <w:rPr>
          <w:rFonts w:hint="eastAsia" w:ascii="仿宋" w:hAnsi="仿宋" w:eastAsia="仿宋" w:cs="仿宋"/>
        </w:rPr>
      </w:pPr>
      <w:r>
        <w:rPr>
          <w:rFonts w:hint="eastAsia" w:ascii="仿宋" w:hAnsi="仿宋" w:eastAsia="仿宋" w:cs="仿宋"/>
        </w:rPr>
        <w:t>1. 简述金融营销的动因。</w:t>
      </w:r>
    </w:p>
    <w:p>
      <w:pPr>
        <w:autoSpaceDE w:val="0"/>
        <w:snapToGrid w:val="0"/>
        <w:spacing w:line="240" w:lineRule="auto"/>
        <w:ind w:firstLine="420" w:firstLineChars="200"/>
        <w:rPr>
          <w:rFonts w:hint="eastAsia" w:ascii="仿宋" w:hAnsi="仿宋" w:eastAsia="仿宋" w:cs="仿宋"/>
        </w:rPr>
      </w:pPr>
    </w:p>
    <w:p>
      <w:pPr>
        <w:autoSpaceDE w:val="0"/>
        <w:snapToGrid w:val="0"/>
        <w:spacing w:line="240" w:lineRule="auto"/>
        <w:ind w:firstLine="420" w:firstLineChars="200"/>
        <w:rPr>
          <w:rFonts w:hint="eastAsia" w:ascii="仿宋" w:hAnsi="仿宋" w:eastAsia="仿宋" w:cs="仿宋"/>
        </w:rPr>
      </w:pPr>
      <w:r>
        <w:rPr>
          <w:rFonts w:hint="eastAsia" w:ascii="仿宋" w:hAnsi="仿宋" w:eastAsia="仿宋" w:cs="仿宋"/>
        </w:rPr>
        <w:t>四、论述题</w:t>
      </w:r>
    </w:p>
    <w:p>
      <w:pPr>
        <w:autoSpaceDE w:val="0"/>
        <w:snapToGrid w:val="0"/>
        <w:spacing w:line="240" w:lineRule="auto"/>
        <w:ind w:firstLine="420" w:firstLineChars="200"/>
        <w:rPr>
          <w:rFonts w:hint="eastAsia" w:ascii="仿宋" w:hAnsi="仿宋" w:eastAsia="仿宋" w:cs="仿宋"/>
        </w:rPr>
      </w:pPr>
      <w:r>
        <w:rPr>
          <w:rFonts w:hint="eastAsia" w:ascii="仿宋" w:hAnsi="仿宋" w:eastAsia="仿宋" w:cs="仿宋"/>
        </w:rPr>
        <w:t>1. 如何理解客户关系管理的内涵？</w:t>
      </w:r>
    </w:p>
    <w:p>
      <w:pPr>
        <w:autoSpaceDE w:val="0"/>
        <w:snapToGrid w:val="0"/>
        <w:spacing w:line="240" w:lineRule="auto"/>
        <w:ind w:firstLine="420" w:firstLineChars="200"/>
        <w:rPr>
          <w:rFonts w:hint="eastAsia" w:ascii="仿宋" w:hAnsi="仿宋" w:eastAsia="仿宋" w:cs="仿宋"/>
        </w:rPr>
      </w:pPr>
    </w:p>
    <w:p>
      <w:pPr>
        <w:autoSpaceDE w:val="0"/>
        <w:snapToGrid w:val="0"/>
        <w:spacing w:line="240" w:lineRule="auto"/>
        <w:ind w:firstLine="420" w:firstLineChars="200"/>
        <w:rPr>
          <w:rFonts w:hint="eastAsia" w:ascii="仿宋" w:hAnsi="仿宋" w:eastAsia="仿宋" w:cs="仿宋"/>
        </w:rPr>
      </w:pPr>
      <w:r>
        <w:rPr>
          <w:rFonts w:hint="eastAsia" w:ascii="仿宋" w:hAnsi="仿宋" w:eastAsia="仿宋" w:cs="仿宋"/>
        </w:rPr>
        <w:t>五、应用题</w:t>
      </w:r>
    </w:p>
    <w:p>
      <w:pPr>
        <w:autoSpaceDE w:val="0"/>
        <w:snapToGrid w:val="0"/>
        <w:spacing w:line="240" w:lineRule="auto"/>
        <w:ind w:firstLine="420" w:firstLineChars="200"/>
        <w:rPr>
          <w:rFonts w:hint="eastAsia" w:ascii="仿宋" w:hAnsi="仿宋" w:eastAsia="仿宋" w:cs="仿宋"/>
        </w:rPr>
      </w:pPr>
      <w:r>
        <w:rPr>
          <w:rFonts w:hint="eastAsia" w:ascii="仿宋" w:hAnsi="仿宋" w:eastAsia="仿宋" w:cs="仿宋"/>
        </w:rPr>
        <w:t>近年来，依托网络和移动技术的升级，人们越发依赖互联网开展资金融通、支付等金融相关业务，互联网金融一定程度上引发了整个金融行业的革新，传统金融机构既有优势受到挑战，经营和服务模式均面临调整。尤其在营销方面，由于和市场、客户有着高度相关性，常常被认为是互联网金融实践的主阵地和突破口。</w:t>
      </w:r>
    </w:p>
    <w:p>
      <w:pPr>
        <w:autoSpaceDE w:val="0"/>
        <w:snapToGrid w:val="0"/>
        <w:spacing w:line="240" w:lineRule="auto"/>
        <w:ind w:firstLine="420" w:firstLineChars="200"/>
        <w:rPr>
          <w:rFonts w:hint="eastAsia" w:ascii="仿宋" w:hAnsi="仿宋" w:eastAsia="仿宋" w:cs="仿宋"/>
        </w:rPr>
      </w:pPr>
      <w:r>
        <w:rPr>
          <w:rFonts w:hint="eastAsia" w:ascii="仿宋" w:hAnsi="仿宋" w:eastAsia="仿宋" w:cs="仿宋"/>
        </w:rPr>
        <w:t>要求：请从经典4P理论中产品、价格、渠道和促销4个方面，对商业银行互联网金融营销提出一些参考性的建议。</w:t>
      </w:r>
    </w:p>
    <w:sectPr>
      <w:headerReference r:id="rId3" w:type="default"/>
      <w:footerReference r:id="rId4" w:type="default"/>
      <w:footerReference r:id="rId5" w:type="even"/>
      <w:pgSz w:w="11907" w:h="16840"/>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6</w:t>
    </w:r>
    <w:r>
      <w:rPr>
        <w:rStyle w:val="11"/>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1B23F5"/>
    <w:rsid w:val="000004C5"/>
    <w:rsid w:val="00004715"/>
    <w:rsid w:val="0000546B"/>
    <w:rsid w:val="00022900"/>
    <w:rsid w:val="000307C5"/>
    <w:rsid w:val="00032BEA"/>
    <w:rsid w:val="0003538C"/>
    <w:rsid w:val="00052415"/>
    <w:rsid w:val="0005491B"/>
    <w:rsid w:val="000630B2"/>
    <w:rsid w:val="00063553"/>
    <w:rsid w:val="00064D86"/>
    <w:rsid w:val="000737F6"/>
    <w:rsid w:val="0009208D"/>
    <w:rsid w:val="00094F1D"/>
    <w:rsid w:val="000953B2"/>
    <w:rsid w:val="000A082A"/>
    <w:rsid w:val="000A4F0D"/>
    <w:rsid w:val="000A72F2"/>
    <w:rsid w:val="000B5AB3"/>
    <w:rsid w:val="000B60CC"/>
    <w:rsid w:val="000B79BD"/>
    <w:rsid w:val="000C474C"/>
    <w:rsid w:val="000C4CDE"/>
    <w:rsid w:val="000C4F03"/>
    <w:rsid w:val="000D14C5"/>
    <w:rsid w:val="000D5BE4"/>
    <w:rsid w:val="000E07AD"/>
    <w:rsid w:val="000F2D29"/>
    <w:rsid w:val="000F5211"/>
    <w:rsid w:val="000F6403"/>
    <w:rsid w:val="00117365"/>
    <w:rsid w:val="001241A1"/>
    <w:rsid w:val="001333C1"/>
    <w:rsid w:val="00133ACD"/>
    <w:rsid w:val="0015137D"/>
    <w:rsid w:val="00153FDE"/>
    <w:rsid w:val="0017038E"/>
    <w:rsid w:val="00181D2D"/>
    <w:rsid w:val="0019158C"/>
    <w:rsid w:val="00193E1B"/>
    <w:rsid w:val="0019577B"/>
    <w:rsid w:val="001A2A7D"/>
    <w:rsid w:val="001A4E10"/>
    <w:rsid w:val="001B23F5"/>
    <w:rsid w:val="001D6DE7"/>
    <w:rsid w:val="001E1DE0"/>
    <w:rsid w:val="001E408A"/>
    <w:rsid w:val="001F0C92"/>
    <w:rsid w:val="001F5B46"/>
    <w:rsid w:val="001F618B"/>
    <w:rsid w:val="00201414"/>
    <w:rsid w:val="00201862"/>
    <w:rsid w:val="002073A9"/>
    <w:rsid w:val="00214419"/>
    <w:rsid w:val="002158FA"/>
    <w:rsid w:val="00220F76"/>
    <w:rsid w:val="00230987"/>
    <w:rsid w:val="002446EE"/>
    <w:rsid w:val="00256B66"/>
    <w:rsid w:val="002635C2"/>
    <w:rsid w:val="002701DB"/>
    <w:rsid w:val="0027584F"/>
    <w:rsid w:val="0027723F"/>
    <w:rsid w:val="00293F2E"/>
    <w:rsid w:val="002A0737"/>
    <w:rsid w:val="002A330D"/>
    <w:rsid w:val="002C4A34"/>
    <w:rsid w:val="002D0087"/>
    <w:rsid w:val="002D1119"/>
    <w:rsid w:val="002D1DCA"/>
    <w:rsid w:val="002D5640"/>
    <w:rsid w:val="002E1767"/>
    <w:rsid w:val="002E2A15"/>
    <w:rsid w:val="002E3375"/>
    <w:rsid w:val="002E4394"/>
    <w:rsid w:val="002E45A9"/>
    <w:rsid w:val="002E50F9"/>
    <w:rsid w:val="00302EB4"/>
    <w:rsid w:val="00307D61"/>
    <w:rsid w:val="003160F5"/>
    <w:rsid w:val="003333D1"/>
    <w:rsid w:val="00340052"/>
    <w:rsid w:val="003400D3"/>
    <w:rsid w:val="0034503F"/>
    <w:rsid w:val="00346631"/>
    <w:rsid w:val="00347F5B"/>
    <w:rsid w:val="00350DA7"/>
    <w:rsid w:val="00352668"/>
    <w:rsid w:val="00360B01"/>
    <w:rsid w:val="00370A94"/>
    <w:rsid w:val="00376C04"/>
    <w:rsid w:val="003843EC"/>
    <w:rsid w:val="00396D60"/>
    <w:rsid w:val="003A2B8D"/>
    <w:rsid w:val="003B40C2"/>
    <w:rsid w:val="003B48BF"/>
    <w:rsid w:val="003B4B45"/>
    <w:rsid w:val="003B5DF6"/>
    <w:rsid w:val="003B767A"/>
    <w:rsid w:val="003C41DE"/>
    <w:rsid w:val="003C499B"/>
    <w:rsid w:val="003C5A8F"/>
    <w:rsid w:val="003D3264"/>
    <w:rsid w:val="003D49E5"/>
    <w:rsid w:val="003D69EB"/>
    <w:rsid w:val="003F661D"/>
    <w:rsid w:val="00406793"/>
    <w:rsid w:val="00422FB8"/>
    <w:rsid w:val="004231C4"/>
    <w:rsid w:val="00425513"/>
    <w:rsid w:val="004303CC"/>
    <w:rsid w:val="0043147A"/>
    <w:rsid w:val="00436D1F"/>
    <w:rsid w:val="00460595"/>
    <w:rsid w:val="00465AD8"/>
    <w:rsid w:val="00466044"/>
    <w:rsid w:val="00474351"/>
    <w:rsid w:val="00474CB0"/>
    <w:rsid w:val="00481459"/>
    <w:rsid w:val="00484D9C"/>
    <w:rsid w:val="00485F5B"/>
    <w:rsid w:val="004868BA"/>
    <w:rsid w:val="00490687"/>
    <w:rsid w:val="004C2A26"/>
    <w:rsid w:val="004C551D"/>
    <w:rsid w:val="004C5697"/>
    <w:rsid w:val="004D0E1F"/>
    <w:rsid w:val="004D5A3B"/>
    <w:rsid w:val="004E7E34"/>
    <w:rsid w:val="004F099E"/>
    <w:rsid w:val="004F2CD3"/>
    <w:rsid w:val="004F5F95"/>
    <w:rsid w:val="00502DD7"/>
    <w:rsid w:val="00510ADB"/>
    <w:rsid w:val="005112E2"/>
    <w:rsid w:val="00532BC5"/>
    <w:rsid w:val="0053329F"/>
    <w:rsid w:val="00540077"/>
    <w:rsid w:val="0054041A"/>
    <w:rsid w:val="00546D9C"/>
    <w:rsid w:val="00566D0D"/>
    <w:rsid w:val="00576921"/>
    <w:rsid w:val="00590E38"/>
    <w:rsid w:val="005910AD"/>
    <w:rsid w:val="005A2DFB"/>
    <w:rsid w:val="005A4D13"/>
    <w:rsid w:val="005B34AE"/>
    <w:rsid w:val="005B47AD"/>
    <w:rsid w:val="005B6AE7"/>
    <w:rsid w:val="005B7824"/>
    <w:rsid w:val="005C49BF"/>
    <w:rsid w:val="005D081D"/>
    <w:rsid w:val="005E4AFC"/>
    <w:rsid w:val="005F2EDF"/>
    <w:rsid w:val="005F5113"/>
    <w:rsid w:val="005F72F8"/>
    <w:rsid w:val="00604911"/>
    <w:rsid w:val="00607F64"/>
    <w:rsid w:val="0061534A"/>
    <w:rsid w:val="006215B2"/>
    <w:rsid w:val="006414A5"/>
    <w:rsid w:val="0064438F"/>
    <w:rsid w:val="00660423"/>
    <w:rsid w:val="0066220C"/>
    <w:rsid w:val="00673BD7"/>
    <w:rsid w:val="006819D7"/>
    <w:rsid w:val="00691D42"/>
    <w:rsid w:val="0069593D"/>
    <w:rsid w:val="006A0F75"/>
    <w:rsid w:val="006A4733"/>
    <w:rsid w:val="006A76B0"/>
    <w:rsid w:val="006A7816"/>
    <w:rsid w:val="006B5208"/>
    <w:rsid w:val="006B5F03"/>
    <w:rsid w:val="006B6BAB"/>
    <w:rsid w:val="006C4346"/>
    <w:rsid w:val="006D39CA"/>
    <w:rsid w:val="006D5229"/>
    <w:rsid w:val="006D7707"/>
    <w:rsid w:val="006E115A"/>
    <w:rsid w:val="006E48AE"/>
    <w:rsid w:val="006F6303"/>
    <w:rsid w:val="0071088D"/>
    <w:rsid w:val="00713E5E"/>
    <w:rsid w:val="00744AD3"/>
    <w:rsid w:val="007511F0"/>
    <w:rsid w:val="0075329C"/>
    <w:rsid w:val="00753F85"/>
    <w:rsid w:val="007540B6"/>
    <w:rsid w:val="007559D1"/>
    <w:rsid w:val="007579AF"/>
    <w:rsid w:val="00763A3F"/>
    <w:rsid w:val="0076700C"/>
    <w:rsid w:val="007808BC"/>
    <w:rsid w:val="00786A1E"/>
    <w:rsid w:val="007A0C09"/>
    <w:rsid w:val="007B48F0"/>
    <w:rsid w:val="007B6742"/>
    <w:rsid w:val="007C0915"/>
    <w:rsid w:val="007C109C"/>
    <w:rsid w:val="007C5BA7"/>
    <w:rsid w:val="007D0CD7"/>
    <w:rsid w:val="007D617B"/>
    <w:rsid w:val="007E0EA0"/>
    <w:rsid w:val="007E4434"/>
    <w:rsid w:val="007E511B"/>
    <w:rsid w:val="008000D4"/>
    <w:rsid w:val="00800B1A"/>
    <w:rsid w:val="00801732"/>
    <w:rsid w:val="00802B16"/>
    <w:rsid w:val="00805089"/>
    <w:rsid w:val="00822A04"/>
    <w:rsid w:val="00836012"/>
    <w:rsid w:val="008365F2"/>
    <w:rsid w:val="0083706B"/>
    <w:rsid w:val="0084521F"/>
    <w:rsid w:val="008629E2"/>
    <w:rsid w:val="008635AB"/>
    <w:rsid w:val="00864182"/>
    <w:rsid w:val="00864D77"/>
    <w:rsid w:val="00877FD4"/>
    <w:rsid w:val="0088138E"/>
    <w:rsid w:val="00884955"/>
    <w:rsid w:val="008944F1"/>
    <w:rsid w:val="008A150A"/>
    <w:rsid w:val="008A75DF"/>
    <w:rsid w:val="008A7EDD"/>
    <w:rsid w:val="008B26D3"/>
    <w:rsid w:val="008B5EC2"/>
    <w:rsid w:val="008D3899"/>
    <w:rsid w:val="008D46F5"/>
    <w:rsid w:val="008D6D33"/>
    <w:rsid w:val="008E3A80"/>
    <w:rsid w:val="008E5A72"/>
    <w:rsid w:val="00900F48"/>
    <w:rsid w:val="009056C0"/>
    <w:rsid w:val="00911079"/>
    <w:rsid w:val="00913911"/>
    <w:rsid w:val="0091642A"/>
    <w:rsid w:val="00920455"/>
    <w:rsid w:val="00922421"/>
    <w:rsid w:val="00926C71"/>
    <w:rsid w:val="00941918"/>
    <w:rsid w:val="0094475B"/>
    <w:rsid w:val="00950D67"/>
    <w:rsid w:val="00953683"/>
    <w:rsid w:val="00954A6C"/>
    <w:rsid w:val="00962E57"/>
    <w:rsid w:val="00982ADF"/>
    <w:rsid w:val="0098445E"/>
    <w:rsid w:val="00991084"/>
    <w:rsid w:val="00996B33"/>
    <w:rsid w:val="009B0D30"/>
    <w:rsid w:val="009D3C93"/>
    <w:rsid w:val="009D5A7B"/>
    <w:rsid w:val="009D668B"/>
    <w:rsid w:val="009D764A"/>
    <w:rsid w:val="009E005A"/>
    <w:rsid w:val="009E4F70"/>
    <w:rsid w:val="009E782D"/>
    <w:rsid w:val="009F1560"/>
    <w:rsid w:val="009F368E"/>
    <w:rsid w:val="009F4AF7"/>
    <w:rsid w:val="009F7402"/>
    <w:rsid w:val="00A054DA"/>
    <w:rsid w:val="00A1309E"/>
    <w:rsid w:val="00A20D89"/>
    <w:rsid w:val="00A26C78"/>
    <w:rsid w:val="00A537FA"/>
    <w:rsid w:val="00A564E5"/>
    <w:rsid w:val="00A60914"/>
    <w:rsid w:val="00A63B0D"/>
    <w:rsid w:val="00AA39C5"/>
    <w:rsid w:val="00AB20AB"/>
    <w:rsid w:val="00AB3606"/>
    <w:rsid w:val="00AC4674"/>
    <w:rsid w:val="00B0141E"/>
    <w:rsid w:val="00B05BA0"/>
    <w:rsid w:val="00B351A5"/>
    <w:rsid w:val="00B41776"/>
    <w:rsid w:val="00B57281"/>
    <w:rsid w:val="00B60C57"/>
    <w:rsid w:val="00B67C0C"/>
    <w:rsid w:val="00B737FE"/>
    <w:rsid w:val="00B739BD"/>
    <w:rsid w:val="00B85D41"/>
    <w:rsid w:val="00BB7381"/>
    <w:rsid w:val="00BC04F4"/>
    <w:rsid w:val="00BC4AD6"/>
    <w:rsid w:val="00BD661D"/>
    <w:rsid w:val="00BD6773"/>
    <w:rsid w:val="00BD6E02"/>
    <w:rsid w:val="00BD6EFD"/>
    <w:rsid w:val="00BE77A4"/>
    <w:rsid w:val="00BF3C8B"/>
    <w:rsid w:val="00C0061D"/>
    <w:rsid w:val="00C05B85"/>
    <w:rsid w:val="00C0633D"/>
    <w:rsid w:val="00C27CBB"/>
    <w:rsid w:val="00C31DA9"/>
    <w:rsid w:val="00C36B07"/>
    <w:rsid w:val="00C41616"/>
    <w:rsid w:val="00C52A42"/>
    <w:rsid w:val="00C62287"/>
    <w:rsid w:val="00C627B1"/>
    <w:rsid w:val="00C91D9C"/>
    <w:rsid w:val="00C93822"/>
    <w:rsid w:val="00C94C76"/>
    <w:rsid w:val="00CA6E96"/>
    <w:rsid w:val="00CB4877"/>
    <w:rsid w:val="00CB6A2B"/>
    <w:rsid w:val="00CC2CCD"/>
    <w:rsid w:val="00CC7B49"/>
    <w:rsid w:val="00CD3DDD"/>
    <w:rsid w:val="00D114C7"/>
    <w:rsid w:val="00D41600"/>
    <w:rsid w:val="00D4161E"/>
    <w:rsid w:val="00D52EFC"/>
    <w:rsid w:val="00D559EA"/>
    <w:rsid w:val="00D744DB"/>
    <w:rsid w:val="00D808B5"/>
    <w:rsid w:val="00D8284B"/>
    <w:rsid w:val="00D96D7F"/>
    <w:rsid w:val="00DA58D2"/>
    <w:rsid w:val="00DB3E7E"/>
    <w:rsid w:val="00DB7A20"/>
    <w:rsid w:val="00DC6C43"/>
    <w:rsid w:val="00DC70E9"/>
    <w:rsid w:val="00DD1223"/>
    <w:rsid w:val="00DD3A0B"/>
    <w:rsid w:val="00DE0860"/>
    <w:rsid w:val="00DE259C"/>
    <w:rsid w:val="00DE3A9A"/>
    <w:rsid w:val="00DE7C4F"/>
    <w:rsid w:val="00DF6F66"/>
    <w:rsid w:val="00E00AD2"/>
    <w:rsid w:val="00E03413"/>
    <w:rsid w:val="00E03939"/>
    <w:rsid w:val="00E051FF"/>
    <w:rsid w:val="00E05362"/>
    <w:rsid w:val="00E06171"/>
    <w:rsid w:val="00E07DCE"/>
    <w:rsid w:val="00E107AF"/>
    <w:rsid w:val="00E110D9"/>
    <w:rsid w:val="00E24D80"/>
    <w:rsid w:val="00E277E7"/>
    <w:rsid w:val="00E3065E"/>
    <w:rsid w:val="00E348ED"/>
    <w:rsid w:val="00E40A96"/>
    <w:rsid w:val="00E665DA"/>
    <w:rsid w:val="00E70A37"/>
    <w:rsid w:val="00E71BD1"/>
    <w:rsid w:val="00E7520E"/>
    <w:rsid w:val="00E81375"/>
    <w:rsid w:val="00E911A7"/>
    <w:rsid w:val="00E93B0D"/>
    <w:rsid w:val="00EA41A6"/>
    <w:rsid w:val="00EA6CA9"/>
    <w:rsid w:val="00EB23D7"/>
    <w:rsid w:val="00EB4787"/>
    <w:rsid w:val="00EB6B82"/>
    <w:rsid w:val="00EC7788"/>
    <w:rsid w:val="00ED3476"/>
    <w:rsid w:val="00EE0E51"/>
    <w:rsid w:val="00EE2C08"/>
    <w:rsid w:val="00EE3F51"/>
    <w:rsid w:val="00F0177D"/>
    <w:rsid w:val="00F106B6"/>
    <w:rsid w:val="00F10BD1"/>
    <w:rsid w:val="00F113C9"/>
    <w:rsid w:val="00F12700"/>
    <w:rsid w:val="00F12F3A"/>
    <w:rsid w:val="00F2034A"/>
    <w:rsid w:val="00F209E8"/>
    <w:rsid w:val="00F22EF0"/>
    <w:rsid w:val="00F243D1"/>
    <w:rsid w:val="00F33854"/>
    <w:rsid w:val="00F50157"/>
    <w:rsid w:val="00F504DC"/>
    <w:rsid w:val="00F5073D"/>
    <w:rsid w:val="00F56591"/>
    <w:rsid w:val="00F60716"/>
    <w:rsid w:val="00F6118A"/>
    <w:rsid w:val="00F635F7"/>
    <w:rsid w:val="00F6628E"/>
    <w:rsid w:val="00F76A21"/>
    <w:rsid w:val="00F87A5B"/>
    <w:rsid w:val="00FA2C3C"/>
    <w:rsid w:val="00FA311D"/>
    <w:rsid w:val="00FA52C5"/>
    <w:rsid w:val="00FB05B4"/>
    <w:rsid w:val="00FB57C2"/>
    <w:rsid w:val="00FC2FDB"/>
    <w:rsid w:val="00FD0FBF"/>
    <w:rsid w:val="00FD5D0B"/>
    <w:rsid w:val="00FD5E6B"/>
    <w:rsid w:val="00FE2385"/>
    <w:rsid w:val="00FF434F"/>
    <w:rsid w:val="023D436B"/>
    <w:rsid w:val="07A96ED0"/>
    <w:rsid w:val="0CE064DE"/>
    <w:rsid w:val="13FE2B6D"/>
    <w:rsid w:val="1B6835E4"/>
    <w:rsid w:val="1D357901"/>
    <w:rsid w:val="292C53B6"/>
    <w:rsid w:val="2CA41A75"/>
    <w:rsid w:val="2ED1779B"/>
    <w:rsid w:val="340A0D5D"/>
    <w:rsid w:val="39F30CDF"/>
    <w:rsid w:val="461F65C3"/>
    <w:rsid w:val="47474992"/>
    <w:rsid w:val="4CCD67D8"/>
    <w:rsid w:val="4E4C3FDD"/>
    <w:rsid w:val="4FD21AF4"/>
    <w:rsid w:val="540D58E2"/>
    <w:rsid w:val="57966818"/>
    <w:rsid w:val="5AB2017C"/>
    <w:rsid w:val="627F567C"/>
    <w:rsid w:val="685C1EF3"/>
    <w:rsid w:val="69BA77A7"/>
    <w:rsid w:val="6B4E27F8"/>
    <w:rsid w:val="6E9B4992"/>
    <w:rsid w:val="7161497F"/>
    <w:rsid w:val="71BA63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Plain Text"/>
    <w:basedOn w:val="1"/>
    <w:qFormat/>
    <w:uiPriority w:val="0"/>
    <w:pPr>
      <w:jc w:val="center"/>
    </w:pPr>
    <w:rPr>
      <w:rFonts w:ascii="仿宋_GB2312" w:hAnsi="Courier New" w:eastAsia="仿宋_GB2312" w:cs="Courier New"/>
      <w:color w:val="000000"/>
      <w:sz w:val="32"/>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Indent 3"/>
    <w:basedOn w:val="1"/>
    <w:qFormat/>
    <w:uiPriority w:val="0"/>
    <w:pPr>
      <w:ind w:left="1" w:firstLine="720" w:firstLineChars="240"/>
    </w:pPr>
    <w:rPr>
      <w:sz w:val="30"/>
      <w:szCs w:val="21"/>
    </w:rPr>
  </w:style>
  <w:style w:type="paragraph" w:styleId="7">
    <w:name w:val="Normal (Web)"/>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4"/>
    </w:rPr>
  </w:style>
  <w:style w:type="character" w:styleId="10">
    <w:name w:val="Strong"/>
    <w:qFormat/>
    <w:uiPriority w:val="0"/>
    <w:rPr>
      <w:b/>
      <w:bCs/>
    </w:rPr>
  </w:style>
  <w:style w:type="character" w:styleId="11">
    <w:name w:val="page number"/>
    <w:basedOn w:val="9"/>
    <w:qFormat/>
    <w:uiPriority w:val="0"/>
  </w:style>
  <w:style w:type="character" w:styleId="12">
    <w:name w:val="Hyperlink"/>
    <w:qFormat/>
    <w:uiPriority w:val="0"/>
    <w:rPr>
      <w:color w:val="000000"/>
      <w:u w:val="none"/>
    </w:rPr>
  </w:style>
  <w:style w:type="character" w:customStyle="1" w:styleId="13">
    <w:name w:val="style40"/>
    <w:basedOn w:val="9"/>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10053</Words>
  <Characters>10177</Characters>
  <Lines>78</Lines>
  <Paragraphs>22</Paragraphs>
  <TotalTime>0</TotalTime>
  <ScaleCrop>false</ScaleCrop>
  <LinksUpToDate>false</LinksUpToDate>
  <CharactersWithSpaces>10413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2023-03-29T02:53:00Z</dcterms:created>
  <dc:creator>lenovo</dc:creator>
  <cp:lastModifiedBy>xinxin</cp:lastModifiedBy>
  <cp:lastPrinted>2009-09-21T07:22:00Z</cp:lastPrinted>
  <dcterms:modified xsi:type="dcterms:W3CDTF">2024-07-29T01:36:10Z</dcterms:modified>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y fmtid="{D5CDD505-2E9C-101B-9397-08002B2CF9AE}" pid="3" name="KSOProductBuildVer">
    <vt:lpwstr>2052-12.1.0.16929</vt:lpwstr>
  </property>
  <property fmtid="{D5CDD505-2E9C-101B-9397-08002B2CF9AE}" pid="4" name="ICV">
    <vt:lpwstr>D5FC5846F90941AA85EA1BB54323A66F</vt:lpwstr>
  </property>
</Properties>
</file>