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napToGrid w:val="0"/>
        <w:spacing w:line="240" w:lineRule="auto"/>
        <w:ind w:right="0" w:rightChars="0"/>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广东省高等教育自学考试《证券投资理论与实务》课程考试大纲</w:t>
      </w:r>
    </w:p>
    <w:p>
      <w:pPr>
        <w:pageBreakBefore w:val="0"/>
        <w:kinsoku/>
        <w:wordWrap/>
        <w:overflowPunct/>
        <w:topLinePunct w:val="0"/>
        <w:autoSpaceDE/>
        <w:autoSpaceDN/>
        <w:bidi w:val="0"/>
        <w:snapToGrid w:val="0"/>
        <w:spacing w:line="240" w:lineRule="auto"/>
        <w:ind w:right="0" w:rightChars="0"/>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（课程代码：14653）</w:t>
      </w:r>
    </w:p>
    <w:p>
      <w:pPr>
        <w:snapToGrid w:val="0"/>
        <w:spacing w:line="240" w:lineRule="auto"/>
        <w:jc w:val="center"/>
        <w:rPr>
          <w:rFonts w:hint="eastAsia" w:ascii="仿宋" w:hAnsi="仿宋" w:eastAsia="仿宋" w:cs="仿宋"/>
          <w:b/>
          <w:bCs/>
          <w:sz w:val="21"/>
          <w:szCs w:val="21"/>
        </w:rPr>
      </w:pPr>
    </w:p>
    <w:p>
      <w:pPr>
        <w:widowControl/>
        <w:spacing w:before="210" w:after="120" w:line="240" w:lineRule="auto"/>
        <w:jc w:val="center"/>
        <w:outlineLvl w:val="3"/>
        <w:rPr>
          <w:rFonts w:hint="eastAsia" w:ascii="仿宋" w:hAnsi="仿宋" w:eastAsia="仿宋" w:cs="仿宋"/>
          <w:b/>
          <w:bCs/>
          <w:kern w:val="0"/>
          <w:sz w:val="21"/>
          <w:szCs w:val="21"/>
        </w:rPr>
      </w:pPr>
      <w:r>
        <w:rPr>
          <w:rFonts w:hint="eastAsia" w:ascii="仿宋" w:hAnsi="仿宋" w:eastAsia="仿宋" w:cs="仿宋"/>
          <w:b/>
          <w:bCs/>
          <w:kern w:val="0"/>
          <w:sz w:val="21"/>
          <w:szCs w:val="21"/>
        </w:rPr>
        <w:t>Ⅰ. 课程性质与课程目标</w:t>
      </w:r>
    </w:p>
    <w:p>
      <w:pPr>
        <w:widowControl/>
        <w:spacing w:before="210" w:line="240" w:lineRule="auto"/>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一、课程性质</w:t>
      </w:r>
    </w:p>
    <w:p>
      <w:pPr>
        <w:widowControl/>
        <w:spacing w:line="240" w:lineRule="auto"/>
        <w:ind w:left="420" w:leftChars="200" w:firstLine="420" w:firstLineChars="200"/>
        <w:jc w:val="left"/>
        <w:rPr>
          <w:rFonts w:hint="eastAsia" w:ascii="仿宋" w:hAnsi="仿宋" w:eastAsia="仿宋" w:cs="仿宋"/>
          <w:kern w:val="0"/>
          <w:sz w:val="21"/>
          <w:szCs w:val="21"/>
        </w:rPr>
      </w:pPr>
      <w:r>
        <w:rPr>
          <w:rFonts w:hint="eastAsia" w:ascii="仿宋" w:hAnsi="仿宋" w:eastAsia="仿宋" w:cs="仿宋"/>
          <w:kern w:val="0"/>
          <w:sz w:val="21"/>
          <w:szCs w:val="21"/>
        </w:rPr>
        <w:t>《证券投资理论与实务》旨在向学生传授证券投资的基本理论、分析方法和实务操作，培养学生的证券投资分析能力、风险管理能力和投资决策能力。</w:t>
      </w:r>
    </w:p>
    <w:p>
      <w:pPr>
        <w:widowControl/>
        <w:spacing w:before="210" w:line="240" w:lineRule="auto"/>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二、课程目标</w:t>
      </w:r>
    </w:p>
    <w:p>
      <w:pPr>
        <w:widowControl/>
        <w:numPr>
          <w:ilvl w:val="0"/>
          <w:numId w:val="1"/>
        </w:numPr>
        <w:spacing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掌握证券投资的基本理论，包括投资组合理论、资本资产定价模型（CAPM）和套利定价理论等。</w:t>
      </w:r>
    </w:p>
    <w:p>
      <w:pPr>
        <w:widowControl/>
        <w:numPr>
          <w:ilvl w:val="0"/>
          <w:numId w:val="1"/>
        </w:numPr>
        <w:spacing w:before="9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熟悉证券市场的运作机制，包括证券发行、交易、监管等基本知识。</w:t>
      </w:r>
    </w:p>
    <w:p>
      <w:pPr>
        <w:widowControl/>
        <w:numPr>
          <w:ilvl w:val="0"/>
          <w:numId w:val="1"/>
        </w:numPr>
        <w:spacing w:before="9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学会运用证券投资分析方法，如基本面分析、技术分析等，对证券进行综合评价和投资决策。</w:t>
      </w:r>
    </w:p>
    <w:p>
      <w:pPr>
        <w:widowControl/>
        <w:numPr>
          <w:ilvl w:val="0"/>
          <w:numId w:val="1"/>
        </w:numPr>
        <w:spacing w:before="9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了解风险管理和</w:t>
      </w:r>
      <w:bookmarkStart w:id="0" w:name="_Hlk169788171"/>
      <w:r>
        <w:rPr>
          <w:rFonts w:hint="eastAsia" w:ascii="仿宋" w:hAnsi="仿宋" w:eastAsia="仿宋" w:cs="仿宋"/>
          <w:kern w:val="0"/>
          <w:sz w:val="21"/>
          <w:szCs w:val="21"/>
        </w:rPr>
        <w:t>投资组合</w:t>
      </w:r>
      <w:bookmarkEnd w:id="0"/>
      <w:r>
        <w:rPr>
          <w:rFonts w:hint="eastAsia" w:ascii="仿宋" w:hAnsi="仿宋" w:eastAsia="仿宋" w:cs="仿宋"/>
          <w:kern w:val="0"/>
          <w:sz w:val="21"/>
          <w:szCs w:val="21"/>
        </w:rPr>
        <w:t>的原理和方法，能够在证券投资过程中进行风险控制和优化投资组合。</w:t>
      </w:r>
    </w:p>
    <w:p>
      <w:pPr>
        <w:widowControl/>
        <w:numPr>
          <w:ilvl w:val="0"/>
          <w:numId w:val="1"/>
        </w:numPr>
        <w:spacing w:before="9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培养学生的投资实践能力和职业素养，为其未来从事证券投资工作打下坚实基础。</w:t>
      </w:r>
    </w:p>
    <w:p>
      <w:pPr>
        <w:widowControl/>
        <w:spacing w:before="210" w:line="240" w:lineRule="auto"/>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三、与相关课程的联系与区别</w:t>
      </w:r>
    </w:p>
    <w:p>
      <w:pPr>
        <w:widowControl/>
        <w:spacing w:before="90" w:line="240" w:lineRule="auto"/>
        <w:ind w:left="420" w:leftChars="200"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本课程与《金融市场学》、《投资学》、《公司财务》等课程密切相关，但在内容上各有侧重。《证券投资理论与实务》更侧重于证券投资的微观分析和投资策略，而其他课程则更侧重于宏观金融理论和政策分析或公司财务决策。在学习本课程前，建议学生已修读《金融市场学》等相关基础课程。</w:t>
      </w:r>
    </w:p>
    <w:p>
      <w:pPr>
        <w:widowControl/>
        <w:spacing w:before="210" w:line="240" w:lineRule="auto"/>
        <w:jc w:val="left"/>
        <w:rPr>
          <w:rFonts w:hint="eastAsia" w:ascii="仿宋" w:hAnsi="仿宋" w:eastAsia="仿宋" w:cs="仿宋"/>
          <w:b/>
          <w:bCs/>
          <w:kern w:val="0"/>
          <w:sz w:val="21"/>
          <w:szCs w:val="21"/>
        </w:rPr>
      </w:pPr>
      <w:r>
        <w:rPr>
          <w:rFonts w:hint="eastAsia" w:ascii="仿宋" w:hAnsi="仿宋" w:eastAsia="仿宋" w:cs="仿宋"/>
          <w:b/>
          <w:bCs/>
          <w:kern w:val="0"/>
          <w:sz w:val="21"/>
          <w:szCs w:val="21"/>
        </w:rPr>
        <w:t>四、课程的重点与难点</w:t>
      </w:r>
    </w:p>
    <w:p>
      <w:pPr>
        <w:widowControl/>
        <w:shd w:val="clear" w:color="auto" w:fill="FDFDFE"/>
        <w:spacing w:before="210" w:line="240" w:lineRule="auto"/>
        <w:rPr>
          <w:rFonts w:hint="eastAsia" w:ascii="仿宋" w:hAnsi="仿宋" w:eastAsia="仿宋" w:cs="仿宋"/>
          <w:kern w:val="0"/>
          <w:sz w:val="21"/>
          <w:szCs w:val="21"/>
        </w:rPr>
      </w:pPr>
      <w:r>
        <w:rPr>
          <w:rFonts w:hint="eastAsia" w:ascii="仿宋" w:hAnsi="仿宋" w:eastAsia="仿宋" w:cs="仿宋"/>
          <w:kern w:val="0"/>
          <w:sz w:val="21"/>
          <w:szCs w:val="21"/>
        </w:rPr>
        <w:t>（一）课程重点</w:t>
      </w:r>
    </w:p>
    <w:p>
      <w:pPr>
        <w:widowControl/>
        <w:numPr>
          <w:ilvl w:val="0"/>
          <w:numId w:val="2"/>
        </w:numPr>
        <w:shd w:val="clear" w:color="auto" w:fill="FDFDFE"/>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证券投资工具与市场：课程定位于本科专业基础课，因此，将证券投资工具与市场作为课程重点之一。</w:t>
      </w:r>
    </w:p>
    <w:p>
      <w:pPr>
        <w:widowControl/>
        <w:numPr>
          <w:ilvl w:val="0"/>
          <w:numId w:val="2"/>
        </w:numPr>
        <w:shd w:val="clear" w:color="auto" w:fill="FDFDFE"/>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证券投资分析：课程最为核心的内容还是证券投资分析的方法和技术，包括基本面分析与技术分析。这些分析有助于投资者识别投资机会、评估投资价值和制定投资策略。</w:t>
      </w:r>
    </w:p>
    <w:p>
      <w:pPr>
        <w:widowControl/>
        <w:numPr>
          <w:ilvl w:val="0"/>
          <w:numId w:val="2"/>
        </w:numPr>
        <w:shd w:val="clear" w:color="auto" w:fill="FDFDFE"/>
        <w:spacing w:line="240" w:lineRule="auto"/>
        <w:rPr>
          <w:rFonts w:hint="eastAsia" w:ascii="仿宋" w:hAnsi="仿宋" w:eastAsia="仿宋" w:cs="仿宋"/>
          <w:kern w:val="0"/>
          <w:sz w:val="21"/>
          <w:szCs w:val="21"/>
        </w:rPr>
      </w:pPr>
      <w:r>
        <w:rPr>
          <w:rFonts w:hint="eastAsia" w:ascii="仿宋" w:hAnsi="仿宋" w:eastAsia="仿宋" w:cs="仿宋"/>
          <w:kern w:val="0"/>
          <w:sz w:val="21"/>
          <w:szCs w:val="21"/>
        </w:rPr>
        <w:t>证券投资理论框架：这门课程重点介绍了证券投资的三大理论基础，包括现代投资组合理论、资本资产定价模型（CAPM）以及套利定价理论等。这些理论框架是理解证券投资市场运作机制和进行投资决策的重要工具。</w:t>
      </w:r>
    </w:p>
    <w:p>
      <w:pPr>
        <w:widowControl/>
        <w:shd w:val="clear" w:color="auto" w:fill="FDFDFE"/>
        <w:spacing w:before="210" w:line="240" w:lineRule="auto"/>
        <w:rPr>
          <w:rFonts w:hint="eastAsia" w:ascii="仿宋" w:hAnsi="仿宋" w:eastAsia="仿宋" w:cs="仿宋"/>
          <w:kern w:val="0"/>
          <w:sz w:val="21"/>
          <w:szCs w:val="21"/>
        </w:rPr>
      </w:pPr>
      <w:r>
        <w:rPr>
          <w:rFonts w:hint="eastAsia" w:ascii="仿宋" w:hAnsi="仿宋" w:eastAsia="仿宋" w:cs="仿宋"/>
          <w:kern w:val="0"/>
          <w:sz w:val="21"/>
          <w:szCs w:val="21"/>
        </w:rPr>
        <w:t>（二）课程难点</w:t>
      </w:r>
    </w:p>
    <w:p>
      <w:pPr>
        <w:widowControl/>
        <w:numPr>
          <w:ilvl w:val="0"/>
          <w:numId w:val="3"/>
        </w:numPr>
        <w:shd w:val="clear" w:color="auto" w:fill="FDFDFE"/>
        <w:spacing w:line="240" w:lineRule="auto"/>
        <w:ind w:left="714" w:hanging="357"/>
        <w:rPr>
          <w:rFonts w:hint="eastAsia" w:ascii="仿宋" w:hAnsi="仿宋" w:eastAsia="仿宋" w:cs="仿宋"/>
          <w:kern w:val="0"/>
          <w:sz w:val="21"/>
          <w:szCs w:val="21"/>
        </w:rPr>
      </w:pPr>
      <w:r>
        <w:rPr>
          <w:rFonts w:hint="eastAsia" w:ascii="仿宋" w:hAnsi="仿宋" w:eastAsia="仿宋" w:cs="仿宋"/>
          <w:kern w:val="0"/>
          <w:sz w:val="21"/>
          <w:szCs w:val="21"/>
        </w:rPr>
        <w:t>证券投资分析的综合运用：证券投资分析包括多种方法和工具，每种方法都有其适用范围和局限性。因此，如何综合运用这些技术，对证券进行全面、准确的分析和评估，是课程的又一个难点。投资者需要具备较强的分析能力和判断能力，以应对复杂多变的市场环境。</w:t>
      </w:r>
    </w:p>
    <w:p>
      <w:pPr>
        <w:widowControl/>
        <w:numPr>
          <w:ilvl w:val="0"/>
          <w:numId w:val="3"/>
        </w:numPr>
        <w:shd w:val="clear" w:color="auto" w:fill="FDFDFE"/>
        <w:spacing w:line="240" w:lineRule="auto"/>
        <w:ind w:left="714" w:hanging="357"/>
        <w:rPr>
          <w:rFonts w:hint="eastAsia" w:ascii="仿宋" w:hAnsi="仿宋" w:eastAsia="仿宋" w:cs="仿宋"/>
          <w:kern w:val="0"/>
          <w:sz w:val="21"/>
          <w:szCs w:val="21"/>
        </w:rPr>
      </w:pPr>
      <w:r>
        <w:rPr>
          <w:rFonts w:hint="eastAsia" w:ascii="仿宋" w:hAnsi="仿宋" w:eastAsia="仿宋" w:cs="仿宋"/>
          <w:kern w:val="0"/>
          <w:sz w:val="21"/>
          <w:szCs w:val="21"/>
        </w:rPr>
        <w:t>理论模型的深入理解与应用：证券投资理论框架中的许多模型都是基于严格的数学推导和假设条件建立的，对于初学者来说可能较难理解。因此，如何深入理解这些模型的原理和假设条件，以及如何将它们应用于实际投资决策中，是课程的一个难点。</w:t>
      </w:r>
    </w:p>
    <w:p>
      <w:pPr>
        <w:widowControl/>
        <w:spacing w:before="210" w:after="120" w:line="240" w:lineRule="auto"/>
        <w:jc w:val="center"/>
        <w:outlineLvl w:val="3"/>
        <w:rPr>
          <w:rFonts w:hint="eastAsia" w:ascii="仿宋" w:hAnsi="仿宋" w:eastAsia="仿宋" w:cs="仿宋"/>
          <w:b/>
          <w:bCs/>
          <w:kern w:val="0"/>
          <w:sz w:val="21"/>
          <w:szCs w:val="21"/>
        </w:rPr>
      </w:pPr>
      <w:r>
        <w:rPr>
          <w:rFonts w:hint="eastAsia" w:ascii="仿宋" w:hAnsi="仿宋" w:eastAsia="仿宋" w:cs="仿宋"/>
          <w:b/>
          <w:bCs/>
          <w:kern w:val="0"/>
          <w:sz w:val="21"/>
          <w:szCs w:val="21"/>
        </w:rPr>
        <w:t>Ⅱ. 考核目标</w:t>
      </w:r>
    </w:p>
    <w:p>
      <w:pPr>
        <w:widowControl/>
        <w:spacing w:line="240" w:lineRule="auto"/>
        <w:ind w:left="210" w:leftChars="100" w:firstLine="420" w:firstLineChars="200"/>
        <w:rPr>
          <w:rFonts w:hint="eastAsia" w:ascii="仿宋" w:hAnsi="仿宋" w:eastAsia="仿宋" w:cs="仿宋"/>
          <w:color w:val="auto"/>
          <w:kern w:val="0"/>
          <w:sz w:val="21"/>
          <w:szCs w:val="21"/>
        </w:rPr>
      </w:pPr>
      <w:r>
        <w:rPr>
          <w:rFonts w:hint="eastAsia" w:ascii="仿宋" w:hAnsi="仿宋" w:eastAsia="仿宋" w:cs="仿宋"/>
          <w:kern w:val="0"/>
          <w:sz w:val="21"/>
          <w:szCs w:val="21"/>
        </w:rPr>
        <w:t>本大纲在考核目</w:t>
      </w:r>
      <w:r>
        <w:rPr>
          <w:rFonts w:hint="eastAsia" w:ascii="仿宋" w:hAnsi="仿宋" w:eastAsia="仿宋" w:cs="仿宋"/>
          <w:color w:val="auto"/>
          <w:kern w:val="0"/>
          <w:sz w:val="21"/>
          <w:szCs w:val="21"/>
        </w:rPr>
        <w:t>标上，按照识记</w:t>
      </w:r>
      <w:r>
        <w:rPr>
          <w:rFonts w:hint="eastAsia" w:ascii="仿宋" w:hAnsi="仿宋" w:eastAsia="仿宋" w:cs="仿宋"/>
          <w:b w:val="0"/>
          <w:bCs w:val="0"/>
          <w:color w:val="auto"/>
          <w:kern w:val="0"/>
          <w:sz w:val="21"/>
          <w:szCs w:val="21"/>
        </w:rPr>
        <w:t>、</w:t>
      </w:r>
      <w:r>
        <w:rPr>
          <w:rFonts w:hint="eastAsia" w:ascii="仿宋" w:hAnsi="仿宋" w:eastAsia="仿宋" w:cs="仿宋"/>
          <w:b w:val="0"/>
          <w:bCs w:val="0"/>
          <w:color w:val="auto"/>
          <w:kern w:val="0"/>
          <w:sz w:val="21"/>
          <w:szCs w:val="21"/>
          <w:lang w:val="en-US" w:eastAsia="zh-CN"/>
        </w:rPr>
        <w:t>领会</w:t>
      </w:r>
      <w:r>
        <w:rPr>
          <w:rFonts w:hint="eastAsia" w:ascii="仿宋" w:hAnsi="仿宋" w:eastAsia="仿宋" w:cs="仿宋"/>
          <w:color w:val="auto"/>
          <w:kern w:val="0"/>
          <w:sz w:val="21"/>
          <w:szCs w:val="21"/>
        </w:rPr>
        <w:t>、应用三个能力层次规定其应达到的能力层次要求：</w:t>
      </w:r>
    </w:p>
    <w:p>
      <w:pPr>
        <w:widowControl/>
        <w:numPr>
          <w:ilvl w:val="0"/>
          <w:numId w:val="4"/>
        </w:numPr>
        <w:spacing w:line="240" w:lineRule="auto"/>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识记：要求学生识记证券投资的基本概念、原理和公式，能够正确表述和解释。</w:t>
      </w:r>
    </w:p>
    <w:p>
      <w:pPr>
        <w:widowControl/>
        <w:numPr>
          <w:ilvl w:val="0"/>
          <w:numId w:val="4"/>
        </w:numPr>
        <w:spacing w:before="90" w:line="240" w:lineRule="auto"/>
        <w:rPr>
          <w:rFonts w:hint="eastAsia" w:ascii="仿宋" w:hAnsi="仿宋" w:eastAsia="仿宋" w:cs="仿宋"/>
          <w:color w:val="auto"/>
          <w:kern w:val="0"/>
          <w:sz w:val="21"/>
          <w:szCs w:val="21"/>
        </w:rPr>
      </w:pPr>
      <w:r>
        <w:rPr>
          <w:rFonts w:hint="eastAsia" w:ascii="仿宋" w:hAnsi="仿宋" w:eastAsia="仿宋" w:cs="仿宋"/>
          <w:b w:val="0"/>
          <w:bCs w:val="0"/>
          <w:color w:val="auto"/>
          <w:kern w:val="0"/>
          <w:sz w:val="21"/>
          <w:szCs w:val="21"/>
          <w:lang w:eastAsia="zh-CN"/>
        </w:rPr>
        <w:t>领会</w:t>
      </w:r>
      <w:r>
        <w:rPr>
          <w:rFonts w:hint="eastAsia" w:ascii="仿宋" w:hAnsi="仿宋" w:eastAsia="仿宋" w:cs="仿宋"/>
          <w:color w:val="auto"/>
          <w:kern w:val="0"/>
          <w:sz w:val="21"/>
          <w:szCs w:val="21"/>
        </w:rPr>
        <w:t>：要求学生在识记的基础上，深入理解证券投资理论的核心思想和分析方法，能够分析证券市场的运作规律和影响因素。</w:t>
      </w:r>
    </w:p>
    <w:p>
      <w:pPr>
        <w:widowControl/>
        <w:numPr>
          <w:ilvl w:val="0"/>
          <w:numId w:val="4"/>
        </w:numPr>
        <w:spacing w:before="90" w:line="240" w:lineRule="auto"/>
        <w:rPr>
          <w:rFonts w:hint="eastAsia" w:ascii="仿宋" w:hAnsi="仿宋" w:eastAsia="仿宋" w:cs="仿宋"/>
          <w:kern w:val="0"/>
          <w:sz w:val="21"/>
          <w:szCs w:val="21"/>
        </w:rPr>
      </w:pPr>
      <w:r>
        <w:rPr>
          <w:rFonts w:hint="eastAsia" w:ascii="仿宋" w:hAnsi="仿宋" w:eastAsia="仿宋" w:cs="仿宋"/>
          <w:kern w:val="0"/>
          <w:sz w:val="21"/>
          <w:szCs w:val="21"/>
        </w:rPr>
        <w:t>应用：要求学生能够运用证券投资的基本理论和分析方法，对证券进行综合评价和投资决策，解决实际问题。</w:t>
      </w:r>
    </w:p>
    <w:p>
      <w:pPr>
        <w:widowControl/>
        <w:spacing w:before="210" w:after="120" w:line="240" w:lineRule="auto"/>
        <w:jc w:val="center"/>
        <w:outlineLvl w:val="3"/>
        <w:rPr>
          <w:rFonts w:hint="eastAsia" w:ascii="仿宋" w:hAnsi="仿宋" w:eastAsia="仿宋" w:cs="仿宋"/>
          <w:b/>
          <w:bCs/>
          <w:kern w:val="0"/>
          <w:sz w:val="21"/>
          <w:szCs w:val="21"/>
        </w:rPr>
      </w:pPr>
      <w:r>
        <w:rPr>
          <w:rFonts w:hint="eastAsia" w:ascii="仿宋" w:hAnsi="仿宋" w:eastAsia="仿宋" w:cs="仿宋"/>
          <w:b/>
          <w:bCs/>
          <w:kern w:val="0"/>
          <w:sz w:val="21"/>
          <w:szCs w:val="21"/>
        </w:rPr>
        <w:t>Ⅲ. 课程内容与考核要求</w:t>
      </w:r>
    </w:p>
    <w:p>
      <w:pPr>
        <w:widowControl/>
        <w:spacing w:before="210" w:line="240" w:lineRule="auto"/>
        <w:jc w:val="center"/>
        <w:rPr>
          <w:rFonts w:hint="eastAsia" w:ascii="仿宋" w:hAnsi="仿宋" w:eastAsia="仿宋" w:cs="仿宋"/>
          <w:b/>
          <w:bCs/>
          <w:kern w:val="0"/>
          <w:sz w:val="21"/>
          <w:szCs w:val="21"/>
        </w:rPr>
      </w:pPr>
      <w:r>
        <w:rPr>
          <w:rFonts w:hint="eastAsia" w:ascii="仿宋" w:hAnsi="仿宋" w:eastAsia="仿宋" w:cs="仿宋"/>
          <w:b/>
          <w:bCs/>
          <w:kern w:val="0"/>
          <w:sz w:val="21"/>
          <w:szCs w:val="21"/>
        </w:rPr>
        <w:t>第一章 证券投资概述</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（一）学习目标与要求</w:t>
      </w:r>
    </w:p>
    <w:p>
      <w:pPr>
        <w:widowControl/>
        <w:spacing w:line="240" w:lineRule="auto"/>
        <w:ind w:left="420" w:leftChars="200"/>
        <w:rPr>
          <w:rFonts w:hint="eastAsia" w:ascii="仿宋" w:hAnsi="仿宋" w:eastAsia="仿宋" w:cs="仿宋"/>
          <w:kern w:val="0"/>
          <w:sz w:val="21"/>
          <w:szCs w:val="21"/>
        </w:rPr>
      </w:pPr>
      <w:r>
        <w:rPr>
          <w:rFonts w:hint="eastAsia" w:ascii="仿宋" w:hAnsi="仿宋" w:eastAsia="仿宋" w:cs="仿宋"/>
          <w:kern w:val="0"/>
          <w:sz w:val="21"/>
          <w:szCs w:val="21"/>
        </w:rPr>
        <w:t>1、明确证券、投资、证券投资、证券投资学的基本概念，证券、投资、证券投资的种类。</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2、理解证券、投资、证券投资、证券投资学的特征。</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3、掌握证券的功能与证券投资学的研究内容。</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（二）内容提要</w:t>
      </w:r>
    </w:p>
    <w:p>
      <w:pPr>
        <w:spacing w:line="240" w:lineRule="auto"/>
        <w:ind w:left="420" w:leftChars="200"/>
        <w:rPr>
          <w:rFonts w:hint="eastAsia" w:ascii="仿宋" w:hAnsi="仿宋" w:eastAsia="仿宋" w:cs="仿宋"/>
          <w:kern w:val="0"/>
          <w:sz w:val="21"/>
          <w:szCs w:val="21"/>
        </w:rPr>
      </w:pPr>
      <w:r>
        <w:rPr>
          <w:rFonts w:hint="eastAsia" w:ascii="仿宋" w:hAnsi="仿宋" w:eastAsia="仿宋" w:cs="仿宋"/>
          <w:kern w:val="0"/>
          <w:sz w:val="21"/>
          <w:szCs w:val="21"/>
        </w:rPr>
        <w:t>第一节 证券</w:t>
      </w:r>
    </w:p>
    <w:p>
      <w:pPr>
        <w:spacing w:line="240" w:lineRule="auto"/>
        <w:ind w:left="420" w:leftChars="200"/>
        <w:rPr>
          <w:rFonts w:hint="eastAsia" w:ascii="仿宋" w:hAnsi="仿宋" w:eastAsia="仿宋" w:cs="仿宋"/>
          <w:kern w:val="0"/>
          <w:sz w:val="21"/>
          <w:szCs w:val="21"/>
        </w:rPr>
      </w:pPr>
      <w:r>
        <w:rPr>
          <w:rFonts w:hint="eastAsia" w:ascii="仿宋" w:hAnsi="仿宋" w:eastAsia="仿宋" w:cs="仿宋"/>
          <w:kern w:val="0"/>
          <w:sz w:val="21"/>
          <w:szCs w:val="21"/>
        </w:rPr>
        <w:t>第二节 投资与证券投资</w:t>
      </w:r>
    </w:p>
    <w:p>
      <w:pPr>
        <w:spacing w:line="240" w:lineRule="auto"/>
        <w:ind w:left="420" w:leftChars="200"/>
        <w:rPr>
          <w:rFonts w:hint="eastAsia" w:ascii="仿宋" w:hAnsi="仿宋" w:eastAsia="仿宋" w:cs="仿宋"/>
          <w:kern w:val="0"/>
          <w:sz w:val="21"/>
          <w:szCs w:val="21"/>
        </w:rPr>
      </w:pPr>
      <w:r>
        <w:rPr>
          <w:rFonts w:hint="eastAsia" w:ascii="仿宋" w:hAnsi="仿宋" w:eastAsia="仿宋" w:cs="仿宋"/>
          <w:kern w:val="0"/>
          <w:sz w:val="21"/>
          <w:szCs w:val="21"/>
        </w:rPr>
        <w:t>第三节 证券投资学</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（三）考核知识点</w:t>
      </w:r>
    </w:p>
    <w:p>
      <w:pPr>
        <w:widowControl/>
        <w:spacing w:line="240" w:lineRule="auto"/>
        <w:ind w:left="567" w:leftChars="270"/>
        <w:jc w:val="left"/>
        <w:rPr>
          <w:rFonts w:hint="eastAsia" w:ascii="仿宋" w:hAnsi="仿宋" w:eastAsia="仿宋" w:cs="仿宋"/>
          <w:kern w:val="0"/>
          <w:sz w:val="21"/>
          <w:szCs w:val="21"/>
        </w:rPr>
      </w:pPr>
      <w:r>
        <w:rPr>
          <w:rFonts w:hint="eastAsia" w:ascii="仿宋" w:hAnsi="仿宋" w:eastAsia="仿宋" w:cs="仿宋"/>
          <w:kern w:val="0"/>
          <w:sz w:val="21"/>
          <w:szCs w:val="21"/>
        </w:rPr>
        <w:t>1.  证券的概念、种类、特征及其功能</w:t>
      </w:r>
    </w:p>
    <w:p>
      <w:pPr>
        <w:widowControl/>
        <w:spacing w:line="240" w:lineRule="auto"/>
        <w:ind w:left="567" w:leftChars="270"/>
        <w:jc w:val="left"/>
        <w:rPr>
          <w:rFonts w:hint="eastAsia" w:ascii="仿宋" w:hAnsi="仿宋" w:eastAsia="仿宋" w:cs="仿宋"/>
          <w:kern w:val="0"/>
          <w:sz w:val="21"/>
          <w:szCs w:val="21"/>
        </w:rPr>
      </w:pPr>
      <w:r>
        <w:rPr>
          <w:rFonts w:hint="eastAsia" w:ascii="仿宋" w:hAnsi="仿宋" w:eastAsia="仿宋" w:cs="仿宋"/>
          <w:kern w:val="0"/>
          <w:sz w:val="21"/>
          <w:szCs w:val="21"/>
        </w:rPr>
        <w:t>2.  投资与证券投资的概念、种类</w:t>
      </w:r>
    </w:p>
    <w:p>
      <w:pPr>
        <w:widowControl/>
        <w:spacing w:line="240" w:lineRule="auto"/>
        <w:ind w:left="567" w:leftChars="270"/>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3.  证券投资学的概念与研究内容 </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（四）考核目标和具体要求</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1. 识记：证券、投资、证券投资、证券投资学的基本概念，证券、投资、证券投资的种类</w:t>
      </w:r>
    </w:p>
    <w:p>
      <w:pPr>
        <w:widowControl/>
        <w:spacing w:before="90"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2. 领会：证券、投资、证券投资、证券投资学的特征</w:t>
      </w:r>
    </w:p>
    <w:p>
      <w:pPr>
        <w:widowControl/>
        <w:spacing w:before="90"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3. 应用：证券的功能与证券投资学的研究内容</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（五）本章重点、难点</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重点：证券、投资、证券投资、证券投资学的概念与特征</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难点：证券的功能与证券投资学的研究内容</w:t>
      </w:r>
    </w:p>
    <w:p>
      <w:pPr>
        <w:widowControl/>
        <w:spacing w:line="240" w:lineRule="auto"/>
        <w:ind w:left="420" w:leftChars="200"/>
        <w:jc w:val="left"/>
        <w:rPr>
          <w:rFonts w:hint="eastAsia" w:ascii="仿宋" w:hAnsi="仿宋" w:eastAsia="仿宋" w:cs="仿宋"/>
          <w:kern w:val="0"/>
          <w:sz w:val="21"/>
          <w:szCs w:val="21"/>
        </w:rPr>
      </w:pPr>
    </w:p>
    <w:p>
      <w:pPr>
        <w:widowControl/>
        <w:spacing w:before="210" w:line="240" w:lineRule="auto"/>
        <w:jc w:val="center"/>
        <w:rPr>
          <w:rFonts w:hint="eastAsia" w:ascii="仿宋" w:hAnsi="仿宋" w:eastAsia="仿宋" w:cs="仿宋"/>
          <w:b/>
          <w:bCs/>
          <w:kern w:val="0"/>
          <w:sz w:val="21"/>
          <w:szCs w:val="21"/>
        </w:rPr>
      </w:pPr>
      <w:r>
        <w:rPr>
          <w:rFonts w:hint="eastAsia" w:ascii="仿宋" w:hAnsi="仿宋" w:eastAsia="仿宋" w:cs="仿宋"/>
          <w:b/>
          <w:bCs/>
          <w:kern w:val="0"/>
          <w:sz w:val="21"/>
          <w:szCs w:val="21"/>
        </w:rPr>
        <w:t>第二章 股票</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（一）学习目标与要求</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1. 明确股票的概念、性质、类型与各国股票价格指数。</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2. 理解股票价格、特征，股票价格指数。</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3. 掌握股票投资收益与股票价格指数的编制。</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（二）内容提要</w:t>
      </w:r>
    </w:p>
    <w:p>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第一节 股票的概念和特征</w:t>
      </w:r>
    </w:p>
    <w:p>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第二节 股票的类型</w:t>
      </w:r>
    </w:p>
    <w:p>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第三节 股票的价格与收益</w:t>
      </w:r>
    </w:p>
    <w:p>
      <w:pPr>
        <w:spacing w:line="240" w:lineRule="auto"/>
        <w:ind w:left="420" w:leftChars="200"/>
        <w:rPr>
          <w:rFonts w:hint="eastAsia" w:ascii="仿宋" w:hAnsi="仿宋" w:eastAsia="仿宋" w:cs="仿宋"/>
          <w:kern w:val="0"/>
          <w:sz w:val="21"/>
          <w:szCs w:val="21"/>
        </w:rPr>
      </w:pPr>
      <w:r>
        <w:rPr>
          <w:rFonts w:hint="eastAsia" w:ascii="仿宋" w:hAnsi="仿宋" w:eastAsia="仿宋" w:cs="仿宋"/>
          <w:sz w:val="21"/>
          <w:szCs w:val="21"/>
        </w:rPr>
        <w:t>第四节 股票价格指数</w:t>
      </w:r>
      <w:r>
        <w:rPr>
          <w:rFonts w:hint="eastAsia" w:ascii="仿宋" w:hAnsi="仿宋" w:eastAsia="仿宋" w:cs="仿宋"/>
          <w:kern w:val="0"/>
          <w:sz w:val="21"/>
          <w:szCs w:val="21"/>
        </w:rPr>
        <w:t xml:space="preserve"> </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（三）考核知识点</w:t>
      </w:r>
    </w:p>
    <w:p>
      <w:pPr>
        <w:pStyle w:val="18"/>
        <w:widowControl/>
        <w:numPr>
          <w:ilvl w:val="0"/>
          <w:numId w:val="5"/>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股票的概念和特征</w:t>
      </w:r>
    </w:p>
    <w:p>
      <w:pPr>
        <w:pStyle w:val="18"/>
        <w:widowControl/>
        <w:numPr>
          <w:ilvl w:val="0"/>
          <w:numId w:val="5"/>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股票的类型</w:t>
      </w:r>
    </w:p>
    <w:p>
      <w:pPr>
        <w:pStyle w:val="18"/>
        <w:widowControl/>
        <w:numPr>
          <w:ilvl w:val="0"/>
          <w:numId w:val="5"/>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股票的价格与收益</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sz w:val="21"/>
          <w:szCs w:val="21"/>
        </w:rPr>
        <w:t>第四节 股票价格指数</w:t>
      </w:r>
      <w:r>
        <w:rPr>
          <w:rFonts w:hint="eastAsia" w:ascii="仿宋" w:hAnsi="仿宋" w:eastAsia="仿宋" w:cs="仿宋"/>
          <w:kern w:val="0"/>
          <w:sz w:val="21"/>
          <w:szCs w:val="21"/>
        </w:rPr>
        <w:t>（四）考核目标和具体要求</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1. 识记：股票的概念、性质、类型与各国股票价格指数</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2. 领会：股票价格、特征，股票价格指数的编制</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3. 应用：股票投资收益与股票价格指数</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（五）本章重点、难点</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重点：股票的类型、性质与特征，各国股票价格指数</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难点：股票投资收益与股票价格指数的编制</w:t>
      </w:r>
    </w:p>
    <w:p>
      <w:pPr>
        <w:widowControl/>
        <w:spacing w:before="210" w:line="240" w:lineRule="auto"/>
        <w:jc w:val="left"/>
        <w:rPr>
          <w:rFonts w:hint="eastAsia" w:ascii="仿宋" w:hAnsi="仿宋" w:eastAsia="仿宋" w:cs="仿宋"/>
          <w:kern w:val="0"/>
          <w:sz w:val="21"/>
          <w:szCs w:val="21"/>
        </w:rPr>
      </w:pPr>
    </w:p>
    <w:p>
      <w:pPr>
        <w:widowControl/>
        <w:spacing w:before="210" w:line="240" w:lineRule="auto"/>
        <w:jc w:val="center"/>
        <w:rPr>
          <w:rFonts w:hint="eastAsia" w:ascii="仿宋" w:hAnsi="仿宋" w:eastAsia="仿宋" w:cs="仿宋"/>
          <w:b/>
          <w:bCs/>
          <w:kern w:val="0"/>
          <w:sz w:val="21"/>
          <w:szCs w:val="21"/>
        </w:rPr>
      </w:pPr>
      <w:r>
        <w:rPr>
          <w:rFonts w:hint="eastAsia" w:ascii="仿宋" w:hAnsi="仿宋" w:eastAsia="仿宋" w:cs="仿宋"/>
          <w:b/>
          <w:bCs/>
          <w:kern w:val="0"/>
          <w:sz w:val="21"/>
          <w:szCs w:val="21"/>
        </w:rPr>
        <w:t>第三章 债券</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（一）学习目标与要求</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1. 明确</w:t>
      </w:r>
      <w:r>
        <w:rPr>
          <w:rFonts w:hint="eastAsia" w:ascii="仿宋" w:hAnsi="仿宋" w:eastAsia="仿宋" w:cs="仿宋"/>
          <w:sz w:val="21"/>
          <w:szCs w:val="21"/>
        </w:rPr>
        <w:t>债券的概念、特征和类型</w:t>
      </w:r>
      <w:r>
        <w:rPr>
          <w:rFonts w:hint="eastAsia" w:ascii="仿宋" w:hAnsi="仿宋" w:eastAsia="仿宋" w:cs="仿宋"/>
          <w:kern w:val="0"/>
          <w:sz w:val="21"/>
          <w:szCs w:val="21"/>
        </w:rPr>
        <w:t>。</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2. 理解</w:t>
      </w:r>
      <w:r>
        <w:rPr>
          <w:rFonts w:hint="eastAsia" w:ascii="仿宋" w:hAnsi="仿宋" w:eastAsia="仿宋" w:cs="仿宋"/>
          <w:sz w:val="21"/>
          <w:szCs w:val="21"/>
        </w:rPr>
        <w:t>债券的信用评级</w:t>
      </w:r>
      <w:r>
        <w:rPr>
          <w:rFonts w:hint="eastAsia" w:ascii="仿宋" w:hAnsi="仿宋" w:eastAsia="仿宋" w:cs="仿宋"/>
          <w:kern w:val="0"/>
          <w:sz w:val="21"/>
          <w:szCs w:val="21"/>
        </w:rPr>
        <w:t>。</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3. 掌握</w:t>
      </w:r>
      <w:r>
        <w:rPr>
          <w:rFonts w:hint="eastAsia" w:ascii="仿宋" w:hAnsi="仿宋" w:eastAsia="仿宋" w:cs="仿宋"/>
          <w:sz w:val="21"/>
          <w:szCs w:val="21"/>
        </w:rPr>
        <w:t>债券的利率和收益率</w:t>
      </w:r>
      <w:r>
        <w:rPr>
          <w:rFonts w:hint="eastAsia" w:ascii="仿宋" w:hAnsi="仿宋" w:eastAsia="仿宋" w:cs="仿宋"/>
          <w:kern w:val="0"/>
          <w:sz w:val="21"/>
          <w:szCs w:val="21"/>
        </w:rPr>
        <w:t>。</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（二）内容提要</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第一节 债券的概念和特征</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第二节 债券的类型</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第三节 债券的利率和收益率</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第四节 债券的信用评级</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（三）考核知识点</w:t>
      </w:r>
    </w:p>
    <w:p>
      <w:pPr>
        <w:pStyle w:val="18"/>
        <w:widowControl/>
        <w:numPr>
          <w:ilvl w:val="0"/>
          <w:numId w:val="6"/>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债券的概念和特征</w:t>
      </w:r>
    </w:p>
    <w:p>
      <w:pPr>
        <w:pStyle w:val="18"/>
        <w:widowControl/>
        <w:numPr>
          <w:ilvl w:val="0"/>
          <w:numId w:val="6"/>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债券的类型</w:t>
      </w:r>
    </w:p>
    <w:p>
      <w:pPr>
        <w:pStyle w:val="18"/>
        <w:widowControl/>
        <w:numPr>
          <w:ilvl w:val="0"/>
          <w:numId w:val="6"/>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债券的利率和收益率</w:t>
      </w:r>
    </w:p>
    <w:p>
      <w:pPr>
        <w:pStyle w:val="18"/>
        <w:widowControl/>
        <w:numPr>
          <w:ilvl w:val="0"/>
          <w:numId w:val="6"/>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债券的信用评级</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（四）考核目标和具体要求</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1. 识记：债券的概念、特征和类型</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2. 领会：债券的信用评级</w:t>
      </w:r>
    </w:p>
    <w:p>
      <w:pPr>
        <w:widowControl/>
        <w:spacing w:line="240" w:lineRule="auto"/>
        <w:ind w:left="510" w:leftChars="243"/>
        <w:jc w:val="left"/>
        <w:rPr>
          <w:rFonts w:hint="eastAsia" w:ascii="仿宋" w:hAnsi="仿宋" w:eastAsia="仿宋" w:cs="仿宋"/>
          <w:kern w:val="0"/>
          <w:sz w:val="21"/>
          <w:szCs w:val="21"/>
        </w:rPr>
      </w:pPr>
      <w:r>
        <w:rPr>
          <w:rFonts w:hint="eastAsia" w:ascii="仿宋" w:hAnsi="仿宋" w:eastAsia="仿宋" w:cs="仿宋"/>
          <w:kern w:val="0"/>
          <w:sz w:val="21"/>
          <w:szCs w:val="21"/>
        </w:rPr>
        <w:t>3. 应用：债券的利率和收益率</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（五）本章重点、难点</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重点：</w:t>
      </w:r>
      <w:r>
        <w:rPr>
          <w:rFonts w:hint="eastAsia" w:ascii="仿宋" w:hAnsi="仿宋" w:eastAsia="仿宋" w:cs="仿宋"/>
          <w:sz w:val="21"/>
          <w:szCs w:val="21"/>
        </w:rPr>
        <w:t>债券的概念、特征和类型，债券的利率和收益率</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难点：</w:t>
      </w:r>
      <w:r>
        <w:rPr>
          <w:rFonts w:hint="eastAsia" w:ascii="仿宋" w:hAnsi="仿宋" w:eastAsia="仿宋" w:cs="仿宋"/>
          <w:sz w:val="21"/>
          <w:szCs w:val="21"/>
        </w:rPr>
        <w:t>债券的利率和收益率</w:t>
      </w:r>
    </w:p>
    <w:p>
      <w:pPr>
        <w:widowControl/>
        <w:spacing w:before="210" w:line="240" w:lineRule="auto"/>
        <w:jc w:val="left"/>
        <w:rPr>
          <w:rFonts w:hint="eastAsia" w:ascii="仿宋" w:hAnsi="仿宋" w:eastAsia="仿宋" w:cs="仿宋"/>
          <w:kern w:val="0"/>
          <w:sz w:val="21"/>
          <w:szCs w:val="21"/>
        </w:rPr>
      </w:pPr>
    </w:p>
    <w:p>
      <w:pPr>
        <w:widowControl/>
        <w:spacing w:before="210" w:line="240" w:lineRule="auto"/>
        <w:jc w:val="center"/>
        <w:rPr>
          <w:rFonts w:hint="eastAsia" w:ascii="仿宋" w:hAnsi="仿宋" w:eastAsia="仿宋" w:cs="仿宋"/>
          <w:b/>
          <w:bCs/>
          <w:kern w:val="0"/>
          <w:sz w:val="21"/>
          <w:szCs w:val="21"/>
        </w:rPr>
      </w:pPr>
      <w:r>
        <w:rPr>
          <w:rFonts w:hint="eastAsia" w:ascii="仿宋" w:hAnsi="仿宋" w:eastAsia="仿宋" w:cs="仿宋"/>
          <w:b/>
          <w:bCs/>
          <w:kern w:val="0"/>
          <w:sz w:val="21"/>
          <w:szCs w:val="21"/>
        </w:rPr>
        <w:t>第四章 投资基金</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（一）学习目标与要求</w:t>
      </w:r>
    </w:p>
    <w:p>
      <w:pPr>
        <w:pStyle w:val="18"/>
        <w:widowControl/>
        <w:numPr>
          <w:ilvl w:val="0"/>
          <w:numId w:val="7"/>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明确投资基金的概念和类型。</w:t>
      </w:r>
    </w:p>
    <w:p>
      <w:pPr>
        <w:pStyle w:val="18"/>
        <w:widowControl/>
        <w:numPr>
          <w:ilvl w:val="0"/>
          <w:numId w:val="7"/>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理解基金投资的特征与主要角色。</w:t>
      </w:r>
    </w:p>
    <w:p>
      <w:pPr>
        <w:pStyle w:val="18"/>
        <w:widowControl/>
        <w:numPr>
          <w:ilvl w:val="0"/>
          <w:numId w:val="7"/>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掌握投资基金的运营与管理。</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（二）内容提要</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第一节 投资基金的概念和特征</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第二节 投资基金的类型</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第三节 基金投资中的主要角色</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第四节 投资基金的运营</w:t>
      </w:r>
    </w:p>
    <w:p>
      <w:pPr>
        <w:spacing w:line="240" w:lineRule="auto"/>
        <w:ind w:left="630" w:leftChars="300"/>
        <w:rPr>
          <w:rFonts w:hint="eastAsia" w:ascii="仿宋" w:hAnsi="仿宋" w:eastAsia="仿宋" w:cs="仿宋"/>
          <w:kern w:val="0"/>
          <w:sz w:val="21"/>
          <w:szCs w:val="21"/>
        </w:rPr>
      </w:pPr>
      <w:r>
        <w:rPr>
          <w:rFonts w:hint="eastAsia" w:ascii="仿宋" w:hAnsi="仿宋" w:eastAsia="仿宋" w:cs="仿宋"/>
          <w:sz w:val="21"/>
          <w:szCs w:val="21"/>
        </w:rPr>
        <w:t>第五节 投资基金的管理</w:t>
      </w:r>
      <w:r>
        <w:rPr>
          <w:rFonts w:hint="eastAsia" w:ascii="仿宋" w:hAnsi="仿宋" w:eastAsia="仿宋" w:cs="仿宋"/>
          <w:kern w:val="0"/>
          <w:sz w:val="21"/>
          <w:szCs w:val="21"/>
        </w:rPr>
        <w:t xml:space="preserve"> </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（三）考核知识点</w:t>
      </w:r>
    </w:p>
    <w:p>
      <w:pPr>
        <w:pStyle w:val="18"/>
        <w:numPr>
          <w:ilvl w:val="0"/>
          <w:numId w:val="8"/>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投资基金的概念和特征</w:t>
      </w:r>
    </w:p>
    <w:p>
      <w:pPr>
        <w:pStyle w:val="18"/>
        <w:numPr>
          <w:ilvl w:val="0"/>
          <w:numId w:val="8"/>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投资基金的类型</w:t>
      </w:r>
    </w:p>
    <w:p>
      <w:pPr>
        <w:pStyle w:val="18"/>
        <w:numPr>
          <w:ilvl w:val="0"/>
          <w:numId w:val="8"/>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基金投资中的主要角色</w:t>
      </w:r>
    </w:p>
    <w:p>
      <w:pPr>
        <w:pStyle w:val="18"/>
        <w:numPr>
          <w:ilvl w:val="0"/>
          <w:numId w:val="8"/>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投资基金的运营与管理</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sz w:val="21"/>
          <w:szCs w:val="21"/>
        </w:rPr>
        <w:t>第五节 投资基金的管理</w:t>
      </w:r>
      <w:r>
        <w:rPr>
          <w:rFonts w:hint="eastAsia" w:ascii="仿宋" w:hAnsi="仿宋" w:eastAsia="仿宋" w:cs="仿宋"/>
          <w:kern w:val="0"/>
          <w:sz w:val="21"/>
          <w:szCs w:val="21"/>
        </w:rPr>
        <w:t>（四）考核目标和具体要求</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1. 识记：投资基金的概念和类型</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2. 领会：基金投资的特征与主要角色</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3. 应用：投资基金的运营与管理</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（五）本章重点、难点</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重点：投资基金的类型、特征与运营管理</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难点：投资基金的运营与管理</w:t>
      </w:r>
    </w:p>
    <w:p>
      <w:pPr>
        <w:widowControl/>
        <w:spacing w:before="210" w:line="240" w:lineRule="auto"/>
        <w:jc w:val="left"/>
        <w:rPr>
          <w:rFonts w:hint="eastAsia" w:ascii="仿宋" w:hAnsi="仿宋" w:eastAsia="仿宋" w:cs="仿宋"/>
          <w:kern w:val="0"/>
          <w:sz w:val="21"/>
          <w:szCs w:val="21"/>
        </w:rPr>
      </w:pPr>
    </w:p>
    <w:p>
      <w:pPr>
        <w:spacing w:line="240" w:lineRule="auto"/>
        <w:jc w:val="center"/>
        <w:rPr>
          <w:rFonts w:hint="eastAsia" w:ascii="仿宋" w:hAnsi="仿宋" w:eastAsia="仿宋" w:cs="仿宋"/>
          <w:b/>
          <w:bCs/>
          <w:kern w:val="0"/>
          <w:sz w:val="21"/>
          <w:szCs w:val="21"/>
        </w:rPr>
      </w:pPr>
      <w:r>
        <w:rPr>
          <w:rFonts w:hint="eastAsia" w:ascii="仿宋" w:hAnsi="仿宋" w:eastAsia="仿宋" w:cs="仿宋"/>
          <w:b/>
          <w:bCs/>
          <w:kern w:val="0"/>
          <w:sz w:val="21"/>
          <w:szCs w:val="21"/>
        </w:rPr>
        <w:t xml:space="preserve">第五章 </w:t>
      </w:r>
      <w:r>
        <w:rPr>
          <w:rFonts w:hint="eastAsia" w:ascii="仿宋" w:hAnsi="仿宋" w:eastAsia="仿宋" w:cs="仿宋"/>
          <w:b/>
          <w:bCs/>
          <w:sz w:val="21"/>
          <w:szCs w:val="21"/>
        </w:rPr>
        <w:t>金融衍生工具</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（一）学习目标与要求</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1. 明确金融衍生工具的概念和类型、功能和特征。</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2. 理解金融期货与金融期权的区别。</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3. 掌握金融期货与金融期权的交易机制。</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（二）内容提要</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第一节 金融衍生工具的概念和类型</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第二节 金融衍生工具的功能和特征</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第三节 金融期货</w:t>
      </w:r>
    </w:p>
    <w:p>
      <w:pPr>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第四节 金融期权</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（三）考核知识点</w:t>
      </w:r>
    </w:p>
    <w:p>
      <w:pPr>
        <w:pStyle w:val="18"/>
        <w:numPr>
          <w:ilvl w:val="0"/>
          <w:numId w:val="9"/>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金融衍生工具的概念和类型</w:t>
      </w:r>
    </w:p>
    <w:p>
      <w:pPr>
        <w:pStyle w:val="18"/>
        <w:numPr>
          <w:ilvl w:val="0"/>
          <w:numId w:val="9"/>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金融衍生工具的功能和特征</w:t>
      </w:r>
    </w:p>
    <w:p>
      <w:pPr>
        <w:pStyle w:val="18"/>
        <w:numPr>
          <w:ilvl w:val="0"/>
          <w:numId w:val="9"/>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金融期货</w:t>
      </w:r>
    </w:p>
    <w:p>
      <w:pPr>
        <w:pStyle w:val="18"/>
        <w:numPr>
          <w:ilvl w:val="0"/>
          <w:numId w:val="9"/>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金融期权</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（四）考核目标和具体要求</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1. 识记： 金融衍生工具的概念和类型、功能和特征</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2. 领会： 金融期货与金融期权的区别</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3. 应用：金融期货与金融期权的交易机制</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（五）本章重点、难点</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重点：金融衍生工具的概念和类型、功能和特征，金融期货与金融期权的区别</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难点：金融期货与金融期权的交易机制</w:t>
      </w:r>
    </w:p>
    <w:p>
      <w:pPr>
        <w:spacing w:line="240" w:lineRule="auto"/>
        <w:rPr>
          <w:rFonts w:hint="eastAsia" w:ascii="仿宋" w:hAnsi="仿宋" w:eastAsia="仿宋" w:cs="仿宋"/>
          <w:kern w:val="0"/>
          <w:sz w:val="21"/>
          <w:szCs w:val="21"/>
        </w:rPr>
      </w:pPr>
    </w:p>
    <w:p>
      <w:pPr>
        <w:spacing w:line="240" w:lineRule="auto"/>
        <w:rPr>
          <w:rFonts w:hint="eastAsia" w:ascii="仿宋" w:hAnsi="仿宋" w:eastAsia="仿宋" w:cs="仿宋"/>
          <w:kern w:val="0"/>
          <w:sz w:val="21"/>
          <w:szCs w:val="21"/>
        </w:rPr>
      </w:pPr>
    </w:p>
    <w:p>
      <w:pPr>
        <w:spacing w:line="240" w:lineRule="auto"/>
        <w:jc w:val="center"/>
        <w:rPr>
          <w:rFonts w:hint="eastAsia" w:ascii="仿宋" w:hAnsi="仿宋" w:eastAsia="仿宋" w:cs="仿宋"/>
          <w:b/>
          <w:bCs/>
          <w:kern w:val="0"/>
          <w:sz w:val="21"/>
          <w:szCs w:val="21"/>
        </w:rPr>
      </w:pPr>
      <w:r>
        <w:rPr>
          <w:rFonts w:hint="eastAsia" w:ascii="仿宋" w:hAnsi="仿宋" w:eastAsia="仿宋" w:cs="仿宋"/>
          <w:b/>
          <w:bCs/>
          <w:kern w:val="0"/>
          <w:sz w:val="21"/>
          <w:szCs w:val="21"/>
        </w:rPr>
        <w:t xml:space="preserve">第六章 </w:t>
      </w:r>
      <w:r>
        <w:rPr>
          <w:rFonts w:hint="eastAsia" w:ascii="仿宋" w:hAnsi="仿宋" w:eastAsia="仿宋" w:cs="仿宋"/>
          <w:b/>
          <w:bCs/>
          <w:sz w:val="21"/>
          <w:szCs w:val="21"/>
        </w:rPr>
        <w:t>证券市场</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（一）学习目标与要求</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1.明确证券市场的概念、种类、特征、功能与结构，证券交易所与证券场外市场，证券市场违法违规行为分类</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2.理解证券发行市场的构成与功能，证券交易市场结构与功能；证券市场监管的原则、方法与内容。</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3.掌握证券发行市场的证券发行方式与条件、发行的程序，证券交易方式与程序。</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（二）内容提要</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第一节 证券市场概述</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第二节 证券发行市场</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第三节 证券交易市场</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第四节 证券市场监管</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（三）考核知识点</w:t>
      </w:r>
    </w:p>
    <w:p>
      <w:pPr>
        <w:pStyle w:val="18"/>
        <w:widowControl/>
        <w:numPr>
          <w:ilvl w:val="0"/>
          <w:numId w:val="10"/>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证券市场的概念、种类、特征、功能与结构</w:t>
      </w:r>
    </w:p>
    <w:p>
      <w:pPr>
        <w:pStyle w:val="18"/>
        <w:widowControl/>
        <w:numPr>
          <w:ilvl w:val="0"/>
          <w:numId w:val="10"/>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证券发行市场的构成与功能，证券发行方式、条件与发行的程序</w:t>
      </w:r>
    </w:p>
    <w:p>
      <w:pPr>
        <w:pStyle w:val="18"/>
        <w:widowControl/>
        <w:numPr>
          <w:ilvl w:val="0"/>
          <w:numId w:val="10"/>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证券交易市场结构与功能，证券交易方式与程序，证券交易所与证券场外市场</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（四）考核目标和具体要求</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1. 识记：证券市场的概念、种类、特征、功能与结构，证券交易所与证券场外市场，证券市场违法违规行为分类</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2. 领会：证券发行市场的构成与功能，证券交易市场结构与功能；证券市场监管的原则、方法与内容</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3. 应用：证券发行市场的证券发行方式与条件、发行的程序，证券交易方式与程序</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（五）本章重点、难点</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重点：证券交易所与证券场外市场，证券市场违法违规行为分类；证券发行市场的构成与功能，证券交易市场结构与功能；证券市场监管的原则、方法与内容</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难点：证券发行市场的证券发行方式与条件、发行的程序，证券交易方式与程序</w:t>
      </w:r>
    </w:p>
    <w:p>
      <w:pPr>
        <w:widowControl/>
        <w:spacing w:before="210" w:line="240" w:lineRule="auto"/>
        <w:jc w:val="left"/>
        <w:rPr>
          <w:rFonts w:hint="eastAsia" w:ascii="仿宋" w:hAnsi="仿宋" w:eastAsia="仿宋" w:cs="仿宋"/>
          <w:kern w:val="0"/>
          <w:sz w:val="21"/>
          <w:szCs w:val="21"/>
        </w:rPr>
      </w:pPr>
    </w:p>
    <w:p>
      <w:pPr>
        <w:spacing w:line="240" w:lineRule="auto"/>
        <w:jc w:val="center"/>
        <w:rPr>
          <w:rFonts w:hint="eastAsia" w:ascii="仿宋" w:hAnsi="仿宋" w:eastAsia="仿宋" w:cs="仿宋"/>
          <w:b/>
          <w:bCs/>
          <w:kern w:val="0"/>
          <w:sz w:val="21"/>
          <w:szCs w:val="21"/>
        </w:rPr>
      </w:pPr>
      <w:r>
        <w:rPr>
          <w:rFonts w:hint="eastAsia" w:ascii="仿宋" w:hAnsi="仿宋" w:eastAsia="仿宋" w:cs="仿宋"/>
          <w:b/>
          <w:bCs/>
          <w:kern w:val="0"/>
          <w:sz w:val="21"/>
          <w:szCs w:val="21"/>
        </w:rPr>
        <w:t>第七章  证券投资分析概述</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（一）学习目标与要求</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1. 明确</w:t>
      </w:r>
      <w:r>
        <w:rPr>
          <w:rFonts w:hint="eastAsia" w:ascii="仿宋" w:hAnsi="仿宋" w:eastAsia="仿宋" w:cs="仿宋"/>
          <w:sz w:val="21"/>
          <w:szCs w:val="21"/>
        </w:rPr>
        <w:t>证券投资分析的作用和步骤</w:t>
      </w:r>
      <w:r>
        <w:rPr>
          <w:rFonts w:hint="eastAsia" w:ascii="仿宋" w:hAnsi="仿宋" w:eastAsia="仿宋" w:cs="仿宋"/>
          <w:kern w:val="0"/>
          <w:sz w:val="21"/>
          <w:szCs w:val="21"/>
        </w:rPr>
        <w:t>。</w:t>
      </w:r>
    </w:p>
    <w:p>
      <w:pPr>
        <w:spacing w:line="240" w:lineRule="auto"/>
        <w:ind w:left="630" w:leftChars="300"/>
        <w:rPr>
          <w:rFonts w:hint="eastAsia" w:ascii="仿宋" w:hAnsi="仿宋" w:eastAsia="仿宋" w:cs="仿宋"/>
          <w:kern w:val="0"/>
          <w:sz w:val="21"/>
          <w:szCs w:val="21"/>
        </w:rPr>
      </w:pPr>
      <w:r>
        <w:rPr>
          <w:rFonts w:hint="eastAsia" w:ascii="仿宋" w:hAnsi="仿宋" w:eastAsia="仿宋" w:cs="仿宋"/>
          <w:kern w:val="0"/>
          <w:sz w:val="21"/>
          <w:szCs w:val="21"/>
        </w:rPr>
        <w:t>2. 理解</w:t>
      </w:r>
      <w:r>
        <w:rPr>
          <w:rFonts w:hint="eastAsia" w:ascii="仿宋" w:hAnsi="仿宋" w:eastAsia="仿宋" w:cs="仿宋"/>
          <w:sz w:val="21"/>
          <w:szCs w:val="21"/>
        </w:rPr>
        <w:t>证券投资分析的方法</w:t>
      </w:r>
      <w:r>
        <w:rPr>
          <w:rFonts w:hint="eastAsia" w:ascii="仿宋" w:hAnsi="仿宋" w:eastAsia="仿宋" w:cs="仿宋"/>
          <w:kern w:val="0"/>
          <w:sz w:val="21"/>
          <w:szCs w:val="21"/>
        </w:rPr>
        <w:t>。</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3. 掌握</w:t>
      </w:r>
      <w:r>
        <w:rPr>
          <w:rFonts w:hint="eastAsia" w:ascii="仿宋" w:hAnsi="仿宋" w:eastAsia="仿宋" w:cs="仿宋"/>
          <w:sz w:val="21"/>
          <w:szCs w:val="21"/>
        </w:rPr>
        <w:t>证券投资收益与风险分析</w:t>
      </w:r>
      <w:r>
        <w:rPr>
          <w:rFonts w:hint="eastAsia" w:ascii="仿宋" w:hAnsi="仿宋" w:eastAsia="仿宋" w:cs="仿宋"/>
          <w:kern w:val="0"/>
          <w:sz w:val="21"/>
          <w:szCs w:val="21"/>
        </w:rPr>
        <w:t>。</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（二）内容提要</w:t>
      </w:r>
    </w:p>
    <w:p>
      <w:pPr>
        <w:pStyle w:val="18"/>
        <w:numPr>
          <w:ilvl w:val="0"/>
          <w:numId w:val="11"/>
        </w:numPr>
        <w:spacing w:line="240" w:lineRule="auto"/>
        <w:ind w:left="1276" w:hanging="709" w:firstLineChars="0"/>
        <w:rPr>
          <w:rFonts w:hint="eastAsia" w:ascii="仿宋" w:hAnsi="仿宋" w:eastAsia="仿宋" w:cs="仿宋"/>
          <w:sz w:val="21"/>
          <w:szCs w:val="21"/>
        </w:rPr>
      </w:pPr>
      <w:r>
        <w:rPr>
          <w:rFonts w:hint="eastAsia" w:ascii="仿宋" w:hAnsi="仿宋" w:eastAsia="仿宋" w:cs="仿宋"/>
          <w:sz w:val="21"/>
          <w:szCs w:val="21"/>
        </w:rPr>
        <w:t>证券投资分析的作用和步骤</w:t>
      </w:r>
    </w:p>
    <w:p>
      <w:pPr>
        <w:pStyle w:val="18"/>
        <w:numPr>
          <w:ilvl w:val="0"/>
          <w:numId w:val="11"/>
        </w:numPr>
        <w:spacing w:line="240" w:lineRule="auto"/>
        <w:ind w:left="1276" w:hanging="709" w:firstLineChars="0"/>
        <w:rPr>
          <w:rFonts w:hint="eastAsia" w:ascii="仿宋" w:hAnsi="仿宋" w:eastAsia="仿宋" w:cs="仿宋"/>
          <w:sz w:val="21"/>
          <w:szCs w:val="21"/>
        </w:rPr>
      </w:pPr>
      <w:r>
        <w:rPr>
          <w:rFonts w:hint="eastAsia" w:ascii="仿宋" w:hAnsi="仿宋" w:eastAsia="仿宋" w:cs="仿宋"/>
          <w:sz w:val="21"/>
          <w:szCs w:val="21"/>
        </w:rPr>
        <w:t>证券投资分析的方法</w:t>
      </w:r>
    </w:p>
    <w:p>
      <w:pPr>
        <w:pStyle w:val="18"/>
        <w:widowControl/>
        <w:numPr>
          <w:ilvl w:val="0"/>
          <w:numId w:val="11"/>
        </w:numPr>
        <w:spacing w:line="240" w:lineRule="auto"/>
        <w:ind w:left="1276" w:hanging="709" w:firstLineChars="0"/>
        <w:jc w:val="left"/>
        <w:rPr>
          <w:rFonts w:hint="eastAsia" w:ascii="仿宋" w:hAnsi="仿宋" w:eastAsia="仿宋" w:cs="仿宋"/>
          <w:kern w:val="0"/>
          <w:sz w:val="21"/>
          <w:szCs w:val="21"/>
        </w:rPr>
      </w:pPr>
      <w:r>
        <w:rPr>
          <w:rFonts w:hint="eastAsia" w:ascii="仿宋" w:hAnsi="仿宋" w:eastAsia="仿宋" w:cs="仿宋"/>
          <w:sz w:val="21"/>
          <w:szCs w:val="21"/>
        </w:rPr>
        <w:t>证券投资收益分析</w:t>
      </w:r>
    </w:p>
    <w:p>
      <w:pPr>
        <w:pStyle w:val="18"/>
        <w:widowControl/>
        <w:numPr>
          <w:ilvl w:val="0"/>
          <w:numId w:val="11"/>
        </w:numPr>
        <w:spacing w:line="240" w:lineRule="auto"/>
        <w:ind w:left="1276" w:hanging="709" w:firstLineChars="0"/>
        <w:jc w:val="left"/>
        <w:rPr>
          <w:rFonts w:hint="eastAsia" w:ascii="仿宋" w:hAnsi="仿宋" w:eastAsia="仿宋" w:cs="仿宋"/>
          <w:kern w:val="0"/>
          <w:sz w:val="21"/>
          <w:szCs w:val="21"/>
        </w:rPr>
      </w:pPr>
      <w:r>
        <w:rPr>
          <w:rFonts w:hint="eastAsia" w:ascii="仿宋" w:hAnsi="仿宋" w:eastAsia="仿宋" w:cs="仿宋"/>
          <w:sz w:val="21"/>
          <w:szCs w:val="21"/>
        </w:rPr>
        <w:t>证券投资风险分析</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（三）考核知识点</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1. 证券投资分析的作用和步骤。</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2. 证券投资分析的方法。</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3. 证券投资收益与风险分析。</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（四）考核目标和具体要求</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1. 识记：证券投资分析的作用和步骤 </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2. 领会：证券投资收益与风险分析</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3. 应用：证券投资分析的方法</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（五）本章重点、难点</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重点：</w:t>
      </w:r>
      <w:r>
        <w:rPr>
          <w:rFonts w:hint="eastAsia" w:ascii="仿宋" w:hAnsi="仿宋" w:eastAsia="仿宋" w:cs="仿宋"/>
          <w:sz w:val="21"/>
          <w:szCs w:val="21"/>
        </w:rPr>
        <w:t>证券投资收益与风险分析</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难点：</w:t>
      </w:r>
      <w:r>
        <w:rPr>
          <w:rFonts w:hint="eastAsia" w:ascii="仿宋" w:hAnsi="仿宋" w:eastAsia="仿宋" w:cs="仿宋"/>
          <w:sz w:val="21"/>
          <w:szCs w:val="21"/>
        </w:rPr>
        <w:t>证券投资分析的方法</w:t>
      </w:r>
    </w:p>
    <w:p>
      <w:pPr>
        <w:widowControl/>
        <w:spacing w:before="210" w:line="240" w:lineRule="auto"/>
        <w:jc w:val="left"/>
        <w:rPr>
          <w:rFonts w:hint="eastAsia" w:ascii="仿宋" w:hAnsi="仿宋" w:eastAsia="仿宋" w:cs="仿宋"/>
          <w:kern w:val="0"/>
          <w:sz w:val="21"/>
          <w:szCs w:val="21"/>
        </w:rPr>
      </w:pPr>
    </w:p>
    <w:p>
      <w:pPr>
        <w:spacing w:line="240" w:lineRule="auto"/>
        <w:jc w:val="center"/>
        <w:rPr>
          <w:rFonts w:hint="eastAsia" w:ascii="仿宋" w:hAnsi="仿宋" w:eastAsia="仿宋" w:cs="仿宋"/>
          <w:b/>
          <w:bCs/>
          <w:kern w:val="0"/>
          <w:sz w:val="21"/>
          <w:szCs w:val="21"/>
        </w:rPr>
      </w:pPr>
      <w:r>
        <w:rPr>
          <w:rFonts w:hint="eastAsia" w:ascii="仿宋" w:hAnsi="仿宋" w:eastAsia="仿宋" w:cs="仿宋"/>
          <w:b/>
          <w:bCs/>
          <w:kern w:val="0"/>
          <w:sz w:val="21"/>
          <w:szCs w:val="21"/>
        </w:rPr>
        <w:t>第八章 证券投资基本分析</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（一）学习目标与要求</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1. 明确证券投资基本分析框架。</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2. 理解宏观、产业与公司分析方法。</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3. 掌握证券投资基本分析的应用。</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（二）内容提要</w:t>
      </w:r>
    </w:p>
    <w:p>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第一节 宏观经济与政策分析</w:t>
      </w:r>
    </w:p>
    <w:p>
      <w:pPr>
        <w:spacing w:line="240" w:lineRule="auto"/>
        <w:ind w:left="420" w:leftChars="200"/>
        <w:rPr>
          <w:rFonts w:hint="eastAsia" w:ascii="仿宋" w:hAnsi="仿宋" w:eastAsia="仿宋" w:cs="仿宋"/>
          <w:sz w:val="21"/>
          <w:szCs w:val="21"/>
        </w:rPr>
      </w:pPr>
      <w:r>
        <w:rPr>
          <w:rFonts w:hint="eastAsia" w:ascii="仿宋" w:hAnsi="仿宋" w:eastAsia="仿宋" w:cs="仿宋"/>
          <w:sz w:val="21"/>
          <w:szCs w:val="21"/>
        </w:rPr>
        <w:t>第二节 行业分析与区域分析</w:t>
      </w:r>
    </w:p>
    <w:p>
      <w:pPr>
        <w:spacing w:line="240" w:lineRule="auto"/>
        <w:ind w:left="420" w:leftChars="200"/>
        <w:rPr>
          <w:rFonts w:hint="eastAsia" w:ascii="仿宋" w:hAnsi="仿宋" w:eastAsia="仿宋" w:cs="仿宋"/>
          <w:kern w:val="0"/>
          <w:sz w:val="21"/>
          <w:szCs w:val="21"/>
        </w:rPr>
      </w:pPr>
      <w:r>
        <w:rPr>
          <w:rFonts w:hint="eastAsia" w:ascii="仿宋" w:hAnsi="仿宋" w:eastAsia="仿宋" w:cs="仿宋"/>
          <w:sz w:val="21"/>
          <w:szCs w:val="21"/>
        </w:rPr>
        <w:t>第二节 公司分析</w:t>
      </w:r>
      <w:r>
        <w:rPr>
          <w:rFonts w:hint="eastAsia" w:ascii="仿宋" w:hAnsi="仿宋" w:eastAsia="仿宋" w:cs="仿宋"/>
          <w:kern w:val="0"/>
          <w:sz w:val="21"/>
          <w:szCs w:val="21"/>
        </w:rPr>
        <w:t xml:space="preserve"> </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（三）考核知识点</w:t>
      </w:r>
    </w:p>
    <w:p>
      <w:pPr>
        <w:pStyle w:val="18"/>
        <w:widowControl/>
        <w:numPr>
          <w:ilvl w:val="0"/>
          <w:numId w:val="12"/>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宏观经济与政策分析</w:t>
      </w:r>
    </w:p>
    <w:p>
      <w:pPr>
        <w:pStyle w:val="18"/>
        <w:widowControl/>
        <w:numPr>
          <w:ilvl w:val="0"/>
          <w:numId w:val="12"/>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行业分析与区域分析</w:t>
      </w:r>
    </w:p>
    <w:p>
      <w:pPr>
        <w:pStyle w:val="18"/>
        <w:widowControl/>
        <w:numPr>
          <w:ilvl w:val="0"/>
          <w:numId w:val="12"/>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 xml:space="preserve">公司分析 </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（四）考核目标和具体要求</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1. 识记：证券投资基本分析的概念</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2. 领会：宏观、产业与公司分析方法</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3. 应用：证券投资基本分析的综合应用</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（五）本章重点、难点</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重点：证券投资的宏观、产业与公司分析方法</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难点：证券投资基本分析的综合应用</w:t>
      </w:r>
    </w:p>
    <w:p>
      <w:pPr>
        <w:widowControl/>
        <w:spacing w:before="210" w:line="240" w:lineRule="auto"/>
        <w:jc w:val="left"/>
        <w:rPr>
          <w:rFonts w:hint="eastAsia" w:ascii="仿宋" w:hAnsi="仿宋" w:eastAsia="仿宋" w:cs="仿宋"/>
          <w:kern w:val="0"/>
          <w:sz w:val="21"/>
          <w:szCs w:val="21"/>
        </w:rPr>
      </w:pPr>
    </w:p>
    <w:p>
      <w:pPr>
        <w:spacing w:line="240" w:lineRule="auto"/>
        <w:jc w:val="center"/>
        <w:rPr>
          <w:rFonts w:hint="eastAsia" w:ascii="仿宋" w:hAnsi="仿宋" w:eastAsia="仿宋" w:cs="仿宋"/>
          <w:b/>
          <w:bCs/>
          <w:kern w:val="0"/>
          <w:sz w:val="21"/>
          <w:szCs w:val="21"/>
        </w:rPr>
      </w:pPr>
      <w:r>
        <w:rPr>
          <w:rFonts w:hint="eastAsia" w:ascii="仿宋" w:hAnsi="仿宋" w:eastAsia="仿宋" w:cs="仿宋"/>
          <w:b/>
          <w:bCs/>
          <w:kern w:val="0"/>
          <w:sz w:val="21"/>
          <w:szCs w:val="21"/>
        </w:rPr>
        <w:t>第九章 证券投资技术分析</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（一）学习目标与要求</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1. 明确证券投资技术分析的特点、假设前提、四大要素与局限性。</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2. 理解技术分析道氏理论与波浪理论。</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3. 掌握图形分析、切线分析、形态分析与指标分析。</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（二）内容提要</w:t>
      </w:r>
    </w:p>
    <w:p>
      <w:pPr>
        <w:pStyle w:val="18"/>
        <w:numPr>
          <w:ilvl w:val="0"/>
          <w:numId w:val="1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技术分析概述</w:t>
      </w:r>
    </w:p>
    <w:p>
      <w:pPr>
        <w:pStyle w:val="18"/>
        <w:numPr>
          <w:ilvl w:val="0"/>
          <w:numId w:val="1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技术分析理论</w:t>
      </w:r>
    </w:p>
    <w:p>
      <w:pPr>
        <w:pStyle w:val="18"/>
        <w:numPr>
          <w:ilvl w:val="0"/>
          <w:numId w:val="1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图形分析</w:t>
      </w:r>
    </w:p>
    <w:p>
      <w:pPr>
        <w:pStyle w:val="18"/>
        <w:numPr>
          <w:ilvl w:val="0"/>
          <w:numId w:val="1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切线分析</w:t>
      </w:r>
    </w:p>
    <w:p>
      <w:pPr>
        <w:pStyle w:val="18"/>
        <w:numPr>
          <w:ilvl w:val="0"/>
          <w:numId w:val="1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形态分析</w:t>
      </w:r>
    </w:p>
    <w:p>
      <w:pPr>
        <w:pStyle w:val="18"/>
        <w:numPr>
          <w:ilvl w:val="0"/>
          <w:numId w:val="13"/>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指标分析</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（三）考核知识点</w:t>
      </w:r>
    </w:p>
    <w:p>
      <w:pPr>
        <w:pStyle w:val="18"/>
        <w:numPr>
          <w:ilvl w:val="0"/>
          <w:numId w:val="14"/>
        </w:numPr>
        <w:spacing w:line="240" w:lineRule="auto"/>
        <w:ind w:left="284" w:firstLine="142" w:firstLineChars="0"/>
        <w:rPr>
          <w:rFonts w:hint="eastAsia" w:ascii="仿宋" w:hAnsi="仿宋" w:eastAsia="仿宋" w:cs="仿宋"/>
          <w:sz w:val="21"/>
          <w:szCs w:val="21"/>
        </w:rPr>
      </w:pPr>
      <w:r>
        <w:rPr>
          <w:rFonts w:hint="eastAsia" w:ascii="仿宋" w:hAnsi="仿宋" w:eastAsia="仿宋" w:cs="仿宋"/>
          <w:sz w:val="21"/>
          <w:szCs w:val="21"/>
        </w:rPr>
        <w:t>技术分析概述</w:t>
      </w:r>
    </w:p>
    <w:p>
      <w:pPr>
        <w:pStyle w:val="18"/>
        <w:numPr>
          <w:ilvl w:val="0"/>
          <w:numId w:val="14"/>
        </w:numPr>
        <w:spacing w:line="240" w:lineRule="auto"/>
        <w:ind w:left="284" w:firstLine="142" w:firstLineChars="0"/>
        <w:rPr>
          <w:rFonts w:hint="eastAsia" w:ascii="仿宋" w:hAnsi="仿宋" w:eastAsia="仿宋" w:cs="仿宋"/>
          <w:sz w:val="21"/>
          <w:szCs w:val="21"/>
        </w:rPr>
      </w:pPr>
      <w:r>
        <w:rPr>
          <w:rFonts w:hint="eastAsia" w:ascii="仿宋" w:hAnsi="仿宋" w:eastAsia="仿宋" w:cs="仿宋"/>
          <w:sz w:val="21"/>
          <w:szCs w:val="21"/>
        </w:rPr>
        <w:t>技术分析理论</w:t>
      </w:r>
    </w:p>
    <w:p>
      <w:pPr>
        <w:pStyle w:val="18"/>
        <w:numPr>
          <w:ilvl w:val="0"/>
          <w:numId w:val="14"/>
        </w:numPr>
        <w:spacing w:line="240" w:lineRule="auto"/>
        <w:ind w:left="284" w:firstLine="142" w:firstLineChars="0"/>
        <w:rPr>
          <w:rFonts w:hint="eastAsia" w:ascii="仿宋" w:hAnsi="仿宋" w:eastAsia="仿宋" w:cs="仿宋"/>
          <w:sz w:val="21"/>
          <w:szCs w:val="21"/>
        </w:rPr>
      </w:pPr>
      <w:r>
        <w:rPr>
          <w:rFonts w:hint="eastAsia" w:ascii="仿宋" w:hAnsi="仿宋" w:eastAsia="仿宋" w:cs="仿宋"/>
          <w:sz w:val="21"/>
          <w:szCs w:val="21"/>
        </w:rPr>
        <w:t>图形分析</w:t>
      </w:r>
    </w:p>
    <w:p>
      <w:pPr>
        <w:pStyle w:val="18"/>
        <w:numPr>
          <w:ilvl w:val="0"/>
          <w:numId w:val="14"/>
        </w:numPr>
        <w:spacing w:line="240" w:lineRule="auto"/>
        <w:ind w:left="284" w:firstLine="142" w:firstLineChars="0"/>
        <w:rPr>
          <w:rFonts w:hint="eastAsia" w:ascii="仿宋" w:hAnsi="仿宋" w:eastAsia="仿宋" w:cs="仿宋"/>
          <w:sz w:val="21"/>
          <w:szCs w:val="21"/>
        </w:rPr>
      </w:pPr>
      <w:r>
        <w:rPr>
          <w:rFonts w:hint="eastAsia" w:ascii="仿宋" w:hAnsi="仿宋" w:eastAsia="仿宋" w:cs="仿宋"/>
          <w:sz w:val="21"/>
          <w:szCs w:val="21"/>
        </w:rPr>
        <w:t>切线分析</w:t>
      </w:r>
    </w:p>
    <w:p>
      <w:pPr>
        <w:pStyle w:val="18"/>
        <w:numPr>
          <w:ilvl w:val="0"/>
          <w:numId w:val="14"/>
        </w:numPr>
        <w:spacing w:line="240" w:lineRule="auto"/>
        <w:ind w:left="284" w:firstLine="142" w:firstLineChars="0"/>
        <w:rPr>
          <w:rFonts w:hint="eastAsia" w:ascii="仿宋" w:hAnsi="仿宋" w:eastAsia="仿宋" w:cs="仿宋"/>
          <w:sz w:val="21"/>
          <w:szCs w:val="21"/>
        </w:rPr>
      </w:pPr>
      <w:r>
        <w:rPr>
          <w:rFonts w:hint="eastAsia" w:ascii="仿宋" w:hAnsi="仿宋" w:eastAsia="仿宋" w:cs="仿宋"/>
          <w:sz w:val="21"/>
          <w:szCs w:val="21"/>
        </w:rPr>
        <w:t>形态分析</w:t>
      </w:r>
    </w:p>
    <w:p>
      <w:pPr>
        <w:pStyle w:val="18"/>
        <w:numPr>
          <w:ilvl w:val="0"/>
          <w:numId w:val="14"/>
        </w:numPr>
        <w:spacing w:line="240" w:lineRule="auto"/>
        <w:ind w:left="284" w:firstLine="142" w:firstLineChars="0"/>
        <w:rPr>
          <w:rFonts w:hint="eastAsia" w:ascii="仿宋" w:hAnsi="仿宋" w:eastAsia="仿宋" w:cs="仿宋"/>
          <w:sz w:val="21"/>
          <w:szCs w:val="21"/>
        </w:rPr>
      </w:pPr>
      <w:r>
        <w:rPr>
          <w:rFonts w:hint="eastAsia" w:ascii="仿宋" w:hAnsi="仿宋" w:eastAsia="仿宋" w:cs="仿宋"/>
          <w:sz w:val="21"/>
          <w:szCs w:val="21"/>
        </w:rPr>
        <w:t>指标分析</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（四）考核目标和具体要求</w:t>
      </w:r>
    </w:p>
    <w:p>
      <w:pPr>
        <w:widowControl/>
        <w:spacing w:line="240" w:lineRule="auto"/>
        <w:ind w:left="424" w:leftChars="202"/>
        <w:jc w:val="left"/>
        <w:rPr>
          <w:rFonts w:hint="eastAsia" w:ascii="仿宋" w:hAnsi="仿宋" w:eastAsia="仿宋" w:cs="仿宋"/>
          <w:kern w:val="0"/>
          <w:sz w:val="21"/>
          <w:szCs w:val="21"/>
        </w:rPr>
      </w:pPr>
      <w:r>
        <w:rPr>
          <w:rFonts w:hint="eastAsia" w:ascii="仿宋" w:hAnsi="仿宋" w:eastAsia="仿宋" w:cs="仿宋"/>
          <w:kern w:val="0"/>
          <w:sz w:val="21"/>
          <w:szCs w:val="21"/>
        </w:rPr>
        <w:t>1. 识记：证券投资技术分析的特点、假设前提、四大要素与局限性</w:t>
      </w:r>
    </w:p>
    <w:p>
      <w:pPr>
        <w:widowControl/>
        <w:spacing w:line="240" w:lineRule="auto"/>
        <w:ind w:left="424" w:leftChars="202"/>
        <w:jc w:val="left"/>
        <w:rPr>
          <w:rFonts w:hint="eastAsia" w:ascii="仿宋" w:hAnsi="仿宋" w:eastAsia="仿宋" w:cs="仿宋"/>
          <w:kern w:val="0"/>
          <w:sz w:val="21"/>
          <w:szCs w:val="21"/>
        </w:rPr>
      </w:pPr>
      <w:r>
        <w:rPr>
          <w:rFonts w:hint="eastAsia" w:ascii="仿宋" w:hAnsi="仿宋" w:eastAsia="仿宋" w:cs="仿宋"/>
          <w:kern w:val="0"/>
          <w:sz w:val="21"/>
          <w:szCs w:val="21"/>
        </w:rPr>
        <w:t>2. 领会：技术分析道氏理论与波浪理论</w:t>
      </w:r>
    </w:p>
    <w:p>
      <w:pPr>
        <w:widowControl/>
        <w:spacing w:line="240" w:lineRule="auto"/>
        <w:ind w:left="424" w:leftChars="202"/>
        <w:jc w:val="left"/>
        <w:rPr>
          <w:rFonts w:hint="eastAsia" w:ascii="仿宋" w:hAnsi="仿宋" w:eastAsia="仿宋" w:cs="仿宋"/>
          <w:kern w:val="0"/>
          <w:sz w:val="21"/>
          <w:szCs w:val="21"/>
        </w:rPr>
      </w:pPr>
      <w:r>
        <w:rPr>
          <w:rFonts w:hint="eastAsia" w:ascii="仿宋" w:hAnsi="仿宋" w:eastAsia="仿宋" w:cs="仿宋"/>
          <w:kern w:val="0"/>
          <w:sz w:val="21"/>
          <w:szCs w:val="21"/>
        </w:rPr>
        <w:t>3. 应用：图形分析、切线分析、形态分析与指标分析</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（五）本章重点、难点</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重点：证券投资技术分析的特点、假设前提、四大要素与局限性，图形分析、切线分析、形态分析与指标分析</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难点：技术分析波浪理论</w:t>
      </w:r>
    </w:p>
    <w:p>
      <w:pPr>
        <w:snapToGrid w:val="0"/>
        <w:spacing w:line="240" w:lineRule="auto"/>
        <w:rPr>
          <w:rFonts w:hint="eastAsia" w:ascii="仿宋" w:hAnsi="仿宋" w:eastAsia="仿宋" w:cs="仿宋"/>
          <w:sz w:val="21"/>
          <w:szCs w:val="21"/>
        </w:rPr>
      </w:pPr>
    </w:p>
    <w:p>
      <w:pPr>
        <w:spacing w:line="240" w:lineRule="auto"/>
        <w:jc w:val="center"/>
        <w:rPr>
          <w:rFonts w:hint="eastAsia" w:ascii="仿宋" w:hAnsi="仿宋" w:eastAsia="仿宋" w:cs="仿宋"/>
          <w:b/>
          <w:bCs/>
          <w:kern w:val="0"/>
          <w:sz w:val="21"/>
          <w:szCs w:val="21"/>
        </w:rPr>
      </w:pPr>
      <w:r>
        <w:rPr>
          <w:rFonts w:hint="eastAsia" w:ascii="仿宋" w:hAnsi="仿宋" w:eastAsia="仿宋" w:cs="仿宋"/>
          <w:b/>
          <w:bCs/>
          <w:kern w:val="0"/>
          <w:sz w:val="21"/>
          <w:szCs w:val="21"/>
        </w:rPr>
        <w:t xml:space="preserve">第十章 </w:t>
      </w:r>
      <w:r>
        <w:rPr>
          <w:rFonts w:hint="eastAsia" w:ascii="仿宋" w:hAnsi="仿宋" w:eastAsia="仿宋" w:cs="仿宋"/>
          <w:b/>
          <w:bCs/>
          <w:sz w:val="21"/>
          <w:szCs w:val="21"/>
        </w:rPr>
        <w:t>证券投资基本理论</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（一）学习目标与要求</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1. 明确投资组合理论的产生与发展。</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2. 理解套利定价理论。</w:t>
      </w:r>
    </w:p>
    <w:p>
      <w:pPr>
        <w:widowControl/>
        <w:spacing w:line="240" w:lineRule="auto"/>
        <w:ind w:left="630" w:leftChars="300"/>
        <w:jc w:val="left"/>
        <w:rPr>
          <w:rFonts w:hint="eastAsia" w:ascii="仿宋" w:hAnsi="仿宋" w:eastAsia="仿宋" w:cs="仿宋"/>
          <w:kern w:val="0"/>
          <w:sz w:val="21"/>
          <w:szCs w:val="21"/>
        </w:rPr>
      </w:pPr>
      <w:r>
        <w:rPr>
          <w:rFonts w:hint="eastAsia" w:ascii="仿宋" w:hAnsi="仿宋" w:eastAsia="仿宋" w:cs="仿宋"/>
          <w:kern w:val="0"/>
          <w:sz w:val="21"/>
          <w:szCs w:val="21"/>
        </w:rPr>
        <w:t>3. 掌握投资组合理论与资本资产定价模型。</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（二）内容提要</w:t>
      </w:r>
    </w:p>
    <w:p>
      <w:pPr>
        <w:pStyle w:val="18"/>
        <w:numPr>
          <w:ilvl w:val="0"/>
          <w:numId w:val="15"/>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投资组合理论</w:t>
      </w:r>
    </w:p>
    <w:p>
      <w:pPr>
        <w:pStyle w:val="18"/>
        <w:numPr>
          <w:ilvl w:val="0"/>
          <w:numId w:val="15"/>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资本资产定价模型</w:t>
      </w:r>
    </w:p>
    <w:p>
      <w:pPr>
        <w:pStyle w:val="18"/>
        <w:numPr>
          <w:ilvl w:val="0"/>
          <w:numId w:val="15"/>
        </w:numPr>
        <w:spacing w:line="240" w:lineRule="auto"/>
        <w:ind w:firstLineChars="0"/>
        <w:rPr>
          <w:rFonts w:hint="eastAsia" w:ascii="仿宋" w:hAnsi="仿宋" w:eastAsia="仿宋" w:cs="仿宋"/>
          <w:sz w:val="21"/>
          <w:szCs w:val="21"/>
        </w:rPr>
      </w:pPr>
      <w:r>
        <w:rPr>
          <w:rFonts w:hint="eastAsia" w:ascii="仿宋" w:hAnsi="仿宋" w:eastAsia="仿宋" w:cs="仿宋"/>
          <w:sz w:val="21"/>
          <w:szCs w:val="21"/>
        </w:rPr>
        <w:t>套利定价理论</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（三）考核知识点</w:t>
      </w:r>
    </w:p>
    <w:p>
      <w:pPr>
        <w:pStyle w:val="18"/>
        <w:widowControl/>
        <w:numPr>
          <w:ilvl w:val="0"/>
          <w:numId w:val="16"/>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投资组合理论</w:t>
      </w:r>
    </w:p>
    <w:p>
      <w:pPr>
        <w:pStyle w:val="18"/>
        <w:widowControl/>
        <w:numPr>
          <w:ilvl w:val="0"/>
          <w:numId w:val="16"/>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资本资产定价模型</w:t>
      </w:r>
    </w:p>
    <w:p>
      <w:pPr>
        <w:pStyle w:val="18"/>
        <w:widowControl/>
        <w:numPr>
          <w:ilvl w:val="0"/>
          <w:numId w:val="16"/>
        </w:numPr>
        <w:spacing w:line="240" w:lineRule="auto"/>
        <w:ind w:firstLineChars="0"/>
        <w:jc w:val="left"/>
        <w:rPr>
          <w:rFonts w:hint="eastAsia" w:ascii="仿宋" w:hAnsi="仿宋" w:eastAsia="仿宋" w:cs="仿宋"/>
          <w:kern w:val="0"/>
          <w:sz w:val="21"/>
          <w:szCs w:val="21"/>
        </w:rPr>
      </w:pPr>
      <w:r>
        <w:rPr>
          <w:rFonts w:hint="eastAsia" w:ascii="仿宋" w:hAnsi="仿宋" w:eastAsia="仿宋" w:cs="仿宋"/>
          <w:kern w:val="0"/>
          <w:sz w:val="21"/>
          <w:szCs w:val="21"/>
        </w:rPr>
        <w:t>套利定价理论</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（四）考核目标和具体要求</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1. 识记：投资组合理论的产生与发展</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2. 领会：套利定价理论</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3. 应用：投资组合理论与资本资产定价模型</w:t>
      </w:r>
    </w:p>
    <w:p>
      <w:pPr>
        <w:widowControl/>
        <w:spacing w:before="210" w:line="240" w:lineRule="auto"/>
        <w:jc w:val="left"/>
        <w:rPr>
          <w:rFonts w:hint="eastAsia" w:ascii="仿宋" w:hAnsi="仿宋" w:eastAsia="仿宋" w:cs="仿宋"/>
          <w:kern w:val="0"/>
          <w:sz w:val="21"/>
          <w:szCs w:val="21"/>
        </w:rPr>
      </w:pPr>
      <w:r>
        <w:rPr>
          <w:rFonts w:hint="eastAsia" w:ascii="仿宋" w:hAnsi="仿宋" w:eastAsia="仿宋" w:cs="仿宋"/>
          <w:kern w:val="0"/>
          <w:sz w:val="21"/>
          <w:szCs w:val="21"/>
        </w:rPr>
        <w:t>（五）本章重点、难点</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重点：投资组合理论与资本资产定价模型</w:t>
      </w:r>
    </w:p>
    <w:p>
      <w:pPr>
        <w:widowControl/>
        <w:spacing w:line="240" w:lineRule="auto"/>
        <w:ind w:left="420" w:leftChars="200"/>
        <w:jc w:val="left"/>
        <w:rPr>
          <w:rFonts w:hint="eastAsia" w:ascii="仿宋" w:hAnsi="仿宋" w:eastAsia="仿宋" w:cs="仿宋"/>
          <w:kern w:val="0"/>
          <w:sz w:val="21"/>
          <w:szCs w:val="21"/>
        </w:rPr>
      </w:pPr>
      <w:r>
        <w:rPr>
          <w:rFonts w:hint="eastAsia" w:ascii="仿宋" w:hAnsi="仿宋" w:eastAsia="仿宋" w:cs="仿宋"/>
          <w:kern w:val="0"/>
          <w:sz w:val="21"/>
          <w:szCs w:val="21"/>
        </w:rPr>
        <w:t>难点：投资组合理论与资本资产定价模型的推导</w:t>
      </w:r>
    </w:p>
    <w:p>
      <w:pPr>
        <w:snapToGrid w:val="0"/>
        <w:spacing w:line="240" w:lineRule="auto"/>
        <w:rPr>
          <w:rFonts w:hint="eastAsia" w:ascii="仿宋" w:hAnsi="仿宋" w:eastAsia="仿宋" w:cs="仿宋"/>
          <w:sz w:val="21"/>
          <w:szCs w:val="21"/>
        </w:rPr>
      </w:pPr>
    </w:p>
    <w:p>
      <w:pPr>
        <w:snapToGrid w:val="0"/>
        <w:spacing w:line="240" w:lineRule="auto"/>
        <w:ind w:firstLine="420" w:firstLineChars="200"/>
        <w:jc w:val="center"/>
        <w:rPr>
          <w:rFonts w:hint="eastAsia" w:ascii="仿宋" w:hAnsi="仿宋" w:eastAsia="仿宋" w:cs="仿宋"/>
          <w:sz w:val="21"/>
          <w:szCs w:val="21"/>
        </w:rPr>
      </w:pPr>
    </w:p>
    <w:p>
      <w:pPr>
        <w:snapToGrid w:val="0"/>
        <w:spacing w:line="240" w:lineRule="auto"/>
        <w:ind w:firstLine="420" w:firstLineChars="200"/>
        <w:jc w:val="center"/>
        <w:rPr>
          <w:rFonts w:hint="eastAsia" w:ascii="仿宋" w:hAnsi="仿宋" w:eastAsia="仿宋" w:cs="仿宋"/>
          <w:sz w:val="21"/>
          <w:szCs w:val="21"/>
        </w:rPr>
      </w:pPr>
    </w:p>
    <w:p>
      <w:pPr>
        <w:snapToGrid w:val="0"/>
        <w:spacing w:line="240" w:lineRule="auto"/>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Ⅳ  关于大纲的说明与考核实施要求</w:t>
      </w:r>
    </w:p>
    <w:p>
      <w:pPr>
        <w:adjustRightInd w:val="0"/>
        <w:snapToGrid w:val="0"/>
        <w:spacing w:line="240" w:lineRule="auto"/>
        <w:ind w:firstLine="422" w:firstLineChars="200"/>
        <w:textAlignment w:val="baseline"/>
        <w:rPr>
          <w:rFonts w:hint="eastAsia" w:ascii="仿宋" w:hAnsi="仿宋" w:eastAsia="仿宋" w:cs="仿宋"/>
          <w:b/>
          <w:bCs/>
          <w:sz w:val="21"/>
          <w:szCs w:val="21"/>
        </w:rPr>
      </w:pPr>
      <w:bookmarkStart w:id="1" w:name="_Hlk169787406"/>
      <w:r>
        <w:rPr>
          <w:rFonts w:hint="eastAsia" w:ascii="仿宋" w:hAnsi="仿宋" w:eastAsia="仿宋" w:cs="仿宋"/>
          <w:b/>
          <w:bCs/>
          <w:sz w:val="21"/>
          <w:szCs w:val="21"/>
        </w:rPr>
        <w:t>一、自学考试大纲的目的和作用</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课程自学考试大纲是根据专业自学考试计划的要求，结合自学考试的特点而确定。其目的是对个人自学、社会助学和课程考试命题进行指导和规定。</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napToGrid w:val="0"/>
        <w:spacing w:line="240" w:lineRule="auto"/>
        <w:ind w:firstLine="420" w:firstLineChars="200"/>
        <w:rPr>
          <w:rFonts w:hint="eastAsia" w:ascii="仿宋" w:hAnsi="仿宋" w:eastAsia="仿宋" w:cs="仿宋"/>
          <w:sz w:val="21"/>
          <w:szCs w:val="21"/>
        </w:rPr>
      </w:pPr>
    </w:p>
    <w:p>
      <w:pPr>
        <w:snapToGrid w:val="0"/>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二、课程自学考试大纲与教材的关系</w:t>
      </w:r>
    </w:p>
    <w:p>
      <w:pPr>
        <w:pStyle w:val="4"/>
        <w:snapToGrid w:val="0"/>
        <w:spacing w:after="0" w:line="240" w:lineRule="auto"/>
        <w:ind w:left="0" w:leftChars="0" w:firstLine="420" w:firstLineChars="200"/>
        <w:rPr>
          <w:rFonts w:hint="eastAsia" w:ascii="仿宋" w:hAnsi="仿宋" w:eastAsia="仿宋" w:cs="仿宋"/>
          <w:sz w:val="21"/>
          <w:szCs w:val="21"/>
        </w:rPr>
      </w:pPr>
      <w:r>
        <w:rPr>
          <w:rFonts w:hint="eastAsia" w:ascii="仿宋" w:hAnsi="仿宋" w:eastAsia="仿宋" w:cs="仿宋"/>
          <w:sz w:val="21"/>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大纲与教材所体现的课程内容应基本一致；大纲里面的课程内容和考核知识点，教材里一般也要有。反过来教材里有的内容，大纲里就不一定体现。</w:t>
      </w:r>
    </w:p>
    <w:p>
      <w:pPr>
        <w:snapToGrid w:val="0"/>
        <w:spacing w:line="240" w:lineRule="auto"/>
        <w:ind w:firstLine="420" w:firstLineChars="200"/>
        <w:rPr>
          <w:rFonts w:hint="eastAsia" w:ascii="仿宋" w:hAnsi="仿宋" w:eastAsia="仿宋" w:cs="仿宋"/>
          <w:sz w:val="21"/>
          <w:szCs w:val="21"/>
        </w:rPr>
      </w:pPr>
    </w:p>
    <w:p>
      <w:pPr>
        <w:snapToGrid w:val="0"/>
        <w:spacing w:line="240" w:lineRule="auto"/>
        <w:ind w:firstLine="422" w:firstLineChars="200"/>
        <w:rPr>
          <w:rFonts w:hint="eastAsia" w:ascii="仿宋" w:hAnsi="仿宋" w:eastAsia="仿宋" w:cs="仿宋"/>
          <w:b/>
          <w:bCs/>
          <w:sz w:val="21"/>
          <w:szCs w:val="21"/>
          <w:lang w:val="en-GB"/>
        </w:rPr>
      </w:pPr>
      <w:r>
        <w:rPr>
          <w:rFonts w:hint="eastAsia" w:ascii="仿宋" w:hAnsi="仿宋" w:eastAsia="仿宋" w:cs="仿宋"/>
          <w:b/>
          <w:bCs/>
          <w:sz w:val="21"/>
          <w:szCs w:val="21"/>
        </w:rPr>
        <w:t>三、关于自学教材</w:t>
      </w:r>
    </w:p>
    <w:p>
      <w:pPr>
        <w:snapToGrid w:val="0"/>
        <w:spacing w:line="240" w:lineRule="auto"/>
        <w:rPr>
          <w:rFonts w:hint="eastAsia" w:ascii="仿宋" w:hAnsi="仿宋" w:eastAsia="仿宋" w:cs="仿宋"/>
          <w:sz w:val="21"/>
          <w:szCs w:val="21"/>
        </w:rPr>
      </w:pPr>
      <w:r>
        <w:rPr>
          <w:rFonts w:hint="eastAsia" w:ascii="仿宋" w:hAnsi="仿宋" w:eastAsia="仿宋" w:cs="仿宋"/>
          <w:sz w:val="21"/>
          <w:szCs w:val="21"/>
        </w:rPr>
        <w:t>《证券投资理论与实务》</w:t>
      </w:r>
      <w:r>
        <w:rPr>
          <w:rFonts w:hint="eastAsia" w:ascii="仿宋" w:hAnsi="仿宋" w:eastAsia="仿宋" w:cs="仿宋"/>
          <w:sz w:val="21"/>
          <w:szCs w:val="21"/>
          <w:lang w:eastAsia="zh-CN"/>
        </w:rPr>
        <w:t>，</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"http://search.dangdang.com/?key2=%CD%F5%BE%FC%C6%EC&amp;medium=01&amp;category_path=01.00.00.00.00.00" \t "_blank" </w:instrText>
      </w:r>
      <w:r>
        <w:rPr>
          <w:rFonts w:hint="eastAsia" w:ascii="仿宋" w:hAnsi="仿宋" w:eastAsia="仿宋" w:cs="仿宋"/>
          <w:sz w:val="21"/>
          <w:szCs w:val="21"/>
        </w:rPr>
        <w:fldChar w:fldCharType="separate"/>
      </w:r>
      <w:r>
        <w:rPr>
          <w:rStyle w:val="14"/>
          <w:rFonts w:hint="eastAsia" w:ascii="仿宋" w:hAnsi="仿宋" w:eastAsia="仿宋" w:cs="仿宋"/>
          <w:color w:val="auto"/>
          <w:sz w:val="21"/>
          <w:szCs w:val="21"/>
          <w:shd w:val="clear" w:color="auto" w:fill="FFFFFF"/>
        </w:rPr>
        <w:t>王军旗</w:t>
      </w:r>
      <w:r>
        <w:rPr>
          <w:rStyle w:val="14"/>
          <w:rFonts w:hint="eastAsia" w:ascii="仿宋" w:hAnsi="仿宋" w:eastAsia="仿宋" w:cs="仿宋"/>
          <w:color w:val="auto"/>
          <w:sz w:val="21"/>
          <w:szCs w:val="21"/>
          <w:shd w:val="clear" w:color="auto" w:fill="FFFFFF"/>
        </w:rPr>
        <w:fldChar w:fldCharType="end"/>
      </w:r>
      <w:r>
        <w:rPr>
          <w:rFonts w:hint="eastAsia" w:ascii="仿宋" w:hAnsi="仿宋" w:eastAsia="仿宋" w:cs="仿宋"/>
          <w:sz w:val="21"/>
          <w:szCs w:val="21"/>
          <w:shd w:val="clear" w:color="auto" w:fill="FFFFFF"/>
        </w:rPr>
        <w:t>、</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HYPERLINK "http://search.dangdang.com/?key2=%CD%F5%BA%A3%C9%BD&amp;medium=01&amp;category_path=01.00.00.00.00.00" \t "_blank" </w:instrText>
      </w:r>
      <w:r>
        <w:rPr>
          <w:rFonts w:hint="eastAsia" w:ascii="仿宋" w:hAnsi="仿宋" w:eastAsia="仿宋" w:cs="仿宋"/>
          <w:sz w:val="21"/>
          <w:szCs w:val="21"/>
        </w:rPr>
        <w:fldChar w:fldCharType="separate"/>
      </w:r>
      <w:r>
        <w:rPr>
          <w:rStyle w:val="14"/>
          <w:rFonts w:hint="eastAsia" w:ascii="仿宋" w:hAnsi="仿宋" w:eastAsia="仿宋" w:cs="仿宋"/>
          <w:color w:val="auto"/>
          <w:sz w:val="21"/>
          <w:szCs w:val="21"/>
          <w:shd w:val="clear" w:color="auto" w:fill="FFFFFF"/>
        </w:rPr>
        <w:t>王海山</w:t>
      </w:r>
      <w:r>
        <w:rPr>
          <w:rStyle w:val="14"/>
          <w:rFonts w:hint="eastAsia" w:ascii="仿宋" w:hAnsi="仿宋" w:eastAsia="仿宋" w:cs="仿宋"/>
          <w:color w:val="auto"/>
          <w:sz w:val="21"/>
          <w:szCs w:val="21"/>
          <w:shd w:val="clear" w:color="auto" w:fill="FFFFFF"/>
        </w:rPr>
        <w:fldChar w:fldCharType="end"/>
      </w:r>
      <w:r>
        <w:rPr>
          <w:rStyle w:val="14"/>
          <w:rFonts w:hint="eastAsia" w:ascii="仿宋" w:hAnsi="仿宋" w:eastAsia="仿宋" w:cs="仿宋"/>
          <w:color w:val="auto"/>
          <w:sz w:val="21"/>
          <w:szCs w:val="21"/>
          <w:shd w:val="clear" w:color="auto" w:fill="FFFFFF"/>
        </w:rPr>
        <w:t>主编，</w:t>
      </w:r>
      <w:r>
        <w:rPr>
          <w:rFonts w:hint="eastAsia" w:ascii="仿宋" w:hAnsi="仿宋" w:eastAsia="仿宋" w:cs="仿宋"/>
          <w:sz w:val="21"/>
          <w:szCs w:val="21"/>
        </w:rPr>
        <w:t>中国人民大学出版社</w:t>
      </w:r>
      <w:r>
        <w:rPr>
          <w:rFonts w:hint="eastAsia" w:ascii="仿宋" w:hAnsi="仿宋" w:eastAsia="仿宋" w:cs="仿宋"/>
          <w:sz w:val="21"/>
          <w:szCs w:val="21"/>
          <w:lang w:eastAsia="zh-CN"/>
        </w:rPr>
        <w:t>，</w:t>
      </w:r>
      <w:r>
        <w:rPr>
          <w:rFonts w:hint="eastAsia" w:ascii="仿宋" w:hAnsi="仿宋" w:eastAsia="仿宋" w:cs="仿宋"/>
          <w:sz w:val="21"/>
          <w:szCs w:val="21"/>
        </w:rPr>
        <w:t>2024</w:t>
      </w:r>
      <w:r>
        <w:rPr>
          <w:rFonts w:hint="eastAsia" w:ascii="仿宋" w:hAnsi="仿宋" w:eastAsia="仿宋" w:cs="仿宋"/>
          <w:sz w:val="21"/>
          <w:szCs w:val="21"/>
          <w:lang w:val="en-US" w:eastAsia="zh-CN"/>
        </w:rPr>
        <w:t>年第6版。</w:t>
      </w:r>
    </w:p>
    <w:p>
      <w:pPr>
        <w:snapToGrid w:val="0"/>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四、关于自学要求和自学方法的指导</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为有效地指导个人自学和社会助学，本大纲已指明了课程的重点和难点，在章节的基本要求中一般也指明了章节内容的重点和难点。</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一）在开始阅读指定教材某一章之前，先翻阅大纲中有关这一章的考核知识及对知识点的能力层次要求和考核目标，以便在阅读教材时做到心中有数，有的放矢。此外还应充分利用网上公开课等各种教学媒体，积极主动有计划、有安排地开展自主学习。</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（二）阅读教材时，要逐段细读，逐句推敲，集中精力，吃透每一个知识点，对基本概念必须深刻理解，对基本理论必须彻底弄清，对基本方法必须牢固掌握。</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（三）在自学过程中，既要思考问题，也要做好阅读笔记，把教材中的基本概念、原理、方法等加以整理，这可从中加深对问题的认知、理解和记忆，以利于突出重点，并涵盖整个内容，可以不断提高自学能力。</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四）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应注意培养逻辑性，针对问题围绕相关知识点进行层次（步骤）分明的论述或推导，明确各层次（步骤）间的逻辑关系。</w:t>
      </w:r>
    </w:p>
    <w:p>
      <w:pPr>
        <w:snapToGrid w:val="0"/>
        <w:spacing w:line="240" w:lineRule="auto"/>
        <w:ind w:firstLine="420" w:firstLineChars="200"/>
        <w:rPr>
          <w:rFonts w:hint="eastAsia" w:ascii="仿宋" w:hAnsi="仿宋" w:eastAsia="仿宋" w:cs="仿宋"/>
          <w:sz w:val="21"/>
          <w:szCs w:val="21"/>
        </w:rPr>
      </w:pPr>
    </w:p>
    <w:p>
      <w:pPr>
        <w:snapToGrid w:val="0"/>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五、对社会助学的要求</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1、应熟知考试大纲对课程所提出的总的要求和各章的知识点。</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2、应掌握各知识点要求达到的层次，并深刻理解各知识点的考核要求。</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3、对应考者进行辅导时，应以指定的教材为基础，以考试大纲为依据，不要随意增删内容，以免与考试大纲脱节。</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4、辅导时应对应考者进行学习方法的指导，提倡应考者“认真阅读教材，刻苦钻研教材，主动提出问题，依靠自己学懂”的学习方法。</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5、辅导时要注意基础、突出重点，要帮助应考者对课程内容建立一个整体的概念，对应考者提出的问题，应以启发引 导为主。</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6、注意对应考者能力的培养，特别是自学能力的培养，要引导应考者逐步学会独立学习， 在自学过程中善于提出问题、分析问题、做出判断和解决问题。</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7、要使应考者了解试题难易与能力层次高低两者不完全是一回事，在各个能力层次中都存在着不同难度的试题。</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8. 要正确处理基础知识和应用能力的关系，努力引导自学应考者将识记、领会和应用联系起来，把基础知识转化为应用能力，在全面辅导的基础上，着重培养和提高他们分析问题和解决问题的能力。</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b w:val="0"/>
          <w:bCs w:val="0"/>
          <w:sz w:val="21"/>
          <w:szCs w:val="21"/>
          <w:lang w:val="en-US" w:eastAsia="zh-CN"/>
        </w:rPr>
        <w:t xml:space="preserve">9. </w:t>
      </w:r>
      <w:r>
        <w:rPr>
          <w:rFonts w:hint="eastAsia" w:ascii="仿宋" w:hAnsi="仿宋" w:eastAsia="仿宋" w:cs="仿宋"/>
          <w:b w:val="0"/>
          <w:bCs w:val="0"/>
          <w:sz w:val="21"/>
          <w:szCs w:val="21"/>
        </w:rPr>
        <w:t>建议每学分2-3个助学学时。</w:t>
      </w:r>
    </w:p>
    <w:p>
      <w:pPr>
        <w:snapToGrid w:val="0"/>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六、对考核内容的说明</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b w:val="0"/>
          <w:bCs w:val="0"/>
          <w:sz w:val="21"/>
          <w:szCs w:val="21"/>
        </w:rPr>
      </w:pPr>
      <w:r>
        <w:rPr>
          <w:rFonts w:hint="eastAsia" w:ascii="仿宋" w:hAnsi="仿宋" w:eastAsia="仿宋" w:cs="仿宋"/>
          <w:b w:val="0"/>
          <w:bCs w:val="0"/>
          <w:sz w:val="21"/>
          <w:szCs w:val="21"/>
        </w:rPr>
        <w:t>1. 本课程要求考生学习和掌握的知识点都是本课程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 w:hAnsi="仿宋" w:eastAsia="仿宋" w:cs="仿宋"/>
          <w:kern w:val="0"/>
          <w:sz w:val="21"/>
          <w:szCs w:val="21"/>
          <w:lang w:val="zh-CN" w:bidi="zh-CN"/>
        </w:rPr>
      </w:pPr>
      <w:r>
        <w:rPr>
          <w:rFonts w:hint="eastAsia" w:ascii="仿宋" w:hAnsi="仿宋" w:eastAsia="仿宋" w:cs="仿宋"/>
          <w:b w:val="0"/>
          <w:bCs w:val="0"/>
          <w:sz w:val="21"/>
          <w:szCs w:val="21"/>
        </w:rPr>
        <w:t>2.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snapToGrid w:val="0"/>
        <w:spacing w:line="240" w:lineRule="auto"/>
        <w:ind w:firstLine="422" w:firstLineChars="200"/>
        <w:rPr>
          <w:rFonts w:hint="eastAsia" w:ascii="仿宋" w:hAnsi="仿宋" w:eastAsia="仿宋" w:cs="仿宋"/>
          <w:b/>
          <w:bCs/>
          <w:sz w:val="21"/>
          <w:szCs w:val="21"/>
        </w:rPr>
      </w:pPr>
      <w:r>
        <w:rPr>
          <w:rFonts w:hint="eastAsia" w:ascii="仿宋" w:hAnsi="仿宋" w:eastAsia="仿宋" w:cs="仿宋"/>
          <w:b/>
          <w:bCs/>
          <w:sz w:val="21"/>
          <w:szCs w:val="21"/>
        </w:rPr>
        <w:t>七、关于考试命题的若干规定</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1、本课程考试采用闭卷笔试形式,考试时间为150分钟；满分100分,60分及格。</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2、本大纲各章所规定的基本要求、知识点及知识点下的知识细目，都属于考核的内容。考试命题既要覆盖到章，又要避免面面俱到。</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3、命题不应有超出大纲中考核知识点范围的题，考核目标不得高于大纲中所规定的相应的最高能力层次要求。</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4、本课程在试卷中对不同能力层次要求的分数比例大致为：识记占20%，领会占30%，应用占50%。</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5、要合理安排试题的难易程度，试题的难度可分为：易、较易、较难和难四个等级。每份试卷中不同难度试题的分数比例一般为：2:3:3:2。</w:t>
      </w:r>
    </w:p>
    <w:p>
      <w:pPr>
        <w:snapToGrid w:val="0"/>
        <w:spacing w:line="24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6.各种题型的具体样式参见本大纲附录。</w:t>
      </w:r>
    </w:p>
    <w:bookmarkEnd w:id="1"/>
    <w:p>
      <w:pPr>
        <w:snapToGrid w:val="0"/>
        <w:spacing w:line="240" w:lineRule="auto"/>
        <w:jc w:val="center"/>
        <w:rPr>
          <w:rFonts w:hint="eastAsia" w:ascii="仿宋" w:hAnsi="仿宋" w:eastAsia="仿宋" w:cs="仿宋"/>
          <w:sz w:val="21"/>
          <w:szCs w:val="21"/>
        </w:rPr>
      </w:pPr>
      <w:bookmarkStart w:id="2" w:name="_GoBack"/>
      <w:bookmarkEnd w:id="2"/>
      <w:r>
        <w:rPr>
          <w:rFonts w:hint="eastAsia" w:ascii="仿宋" w:hAnsi="仿宋" w:eastAsia="仿宋" w:cs="仿宋"/>
          <w:b/>
          <w:bCs/>
          <w:sz w:val="21"/>
          <w:szCs w:val="21"/>
        </w:rPr>
        <w:t>附录 题型举例</w:t>
      </w:r>
    </w:p>
    <w:p>
      <w:pPr>
        <w:snapToGrid w:val="0"/>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一、单项选择题</w:t>
      </w:r>
    </w:p>
    <w:p>
      <w:pPr>
        <w:snapToGrid w:val="0"/>
        <w:spacing w:line="240" w:lineRule="auto"/>
        <w:ind w:left="210" w:leftChars="100" w:firstLine="420" w:firstLineChars="200"/>
        <w:rPr>
          <w:rFonts w:hint="eastAsia" w:ascii="仿宋" w:hAnsi="仿宋" w:eastAsia="仿宋" w:cs="仿宋"/>
          <w:sz w:val="21"/>
          <w:szCs w:val="21"/>
        </w:rPr>
      </w:pPr>
      <w:r>
        <w:rPr>
          <w:rFonts w:hint="eastAsia" w:ascii="仿宋" w:hAnsi="仿宋" w:eastAsia="仿宋" w:cs="仿宋"/>
          <w:sz w:val="21"/>
          <w:szCs w:val="21"/>
        </w:rPr>
        <w:t>1.下列风险中属于系统性风险的是（   ）</w:t>
      </w:r>
    </w:p>
    <w:p>
      <w:pPr>
        <w:snapToGrid w:val="0"/>
        <w:spacing w:line="240" w:lineRule="auto"/>
        <w:ind w:left="210" w:leftChars="100" w:firstLine="420" w:firstLineChars="200"/>
        <w:rPr>
          <w:rFonts w:hint="eastAsia" w:ascii="仿宋" w:hAnsi="仿宋" w:eastAsia="仿宋" w:cs="仿宋"/>
          <w:sz w:val="21"/>
          <w:szCs w:val="21"/>
        </w:rPr>
      </w:pPr>
      <w:r>
        <w:rPr>
          <w:rFonts w:hint="eastAsia" w:ascii="仿宋" w:hAnsi="仿宋" w:eastAsia="仿宋" w:cs="仿宋"/>
          <w:sz w:val="21"/>
          <w:szCs w:val="21"/>
        </w:rPr>
        <w:t xml:space="preserve">A.市场风险  　B.信用风险   C.经营经营风险   D.财务风险 </w:t>
      </w:r>
    </w:p>
    <w:p>
      <w:pPr>
        <w:snapToGrid w:val="0"/>
        <w:spacing w:line="240" w:lineRule="auto"/>
        <w:ind w:left="420" w:leftChars="200"/>
        <w:rPr>
          <w:rFonts w:hint="eastAsia" w:ascii="仿宋" w:hAnsi="仿宋" w:eastAsia="仿宋" w:cs="仿宋"/>
          <w:b/>
          <w:bCs/>
          <w:sz w:val="21"/>
          <w:szCs w:val="21"/>
        </w:rPr>
      </w:pPr>
    </w:p>
    <w:p>
      <w:pPr>
        <w:snapToGrid w:val="0"/>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二、多项选择题</w:t>
      </w:r>
    </w:p>
    <w:p>
      <w:pPr>
        <w:snapToGrid w:val="0"/>
        <w:spacing w:line="240" w:lineRule="auto"/>
        <w:ind w:left="210" w:leftChars="100" w:firstLine="420" w:firstLineChars="200"/>
        <w:rPr>
          <w:rFonts w:hint="eastAsia" w:ascii="仿宋" w:hAnsi="仿宋" w:eastAsia="仿宋" w:cs="仿宋"/>
          <w:sz w:val="21"/>
          <w:szCs w:val="21"/>
        </w:rPr>
      </w:pPr>
      <w:r>
        <w:rPr>
          <w:rFonts w:hint="eastAsia" w:ascii="仿宋" w:hAnsi="仿宋" w:eastAsia="仿宋" w:cs="仿宋"/>
          <w:sz w:val="21"/>
          <w:szCs w:val="21"/>
        </w:rPr>
        <w:t>1. 构建证券投资组合涉及（   ）</w:t>
      </w:r>
    </w:p>
    <w:p>
      <w:pPr>
        <w:snapToGrid w:val="0"/>
        <w:spacing w:line="240" w:lineRule="auto"/>
        <w:ind w:left="210" w:leftChars="100" w:firstLine="420" w:firstLineChars="200"/>
        <w:rPr>
          <w:rFonts w:hint="eastAsia" w:ascii="仿宋" w:hAnsi="仿宋" w:eastAsia="仿宋" w:cs="仿宋"/>
          <w:sz w:val="21"/>
          <w:szCs w:val="21"/>
        </w:rPr>
      </w:pPr>
      <w:r>
        <w:rPr>
          <w:rFonts w:hint="eastAsia" w:ascii="仿宋" w:hAnsi="仿宋" w:eastAsia="仿宋" w:cs="仿宋"/>
          <w:sz w:val="21"/>
          <w:szCs w:val="21"/>
        </w:rPr>
        <w:t xml:space="preserve">A.选择业绩基准 　B.资产配置   C.具体的资产选择   </w:t>
      </w:r>
    </w:p>
    <w:p>
      <w:pPr>
        <w:snapToGrid w:val="0"/>
        <w:spacing w:line="240" w:lineRule="auto"/>
        <w:ind w:left="210" w:leftChars="100" w:firstLine="420" w:firstLineChars="200"/>
        <w:rPr>
          <w:rFonts w:hint="eastAsia" w:ascii="仿宋" w:hAnsi="仿宋" w:eastAsia="仿宋" w:cs="仿宋"/>
          <w:sz w:val="21"/>
          <w:szCs w:val="21"/>
        </w:rPr>
      </w:pPr>
      <w:r>
        <w:rPr>
          <w:rFonts w:hint="eastAsia" w:ascii="仿宋" w:hAnsi="仿宋" w:eastAsia="仿宋" w:cs="仿宋"/>
          <w:sz w:val="21"/>
          <w:szCs w:val="21"/>
        </w:rPr>
        <w:t>D.必要的修正     E.宏观分析</w:t>
      </w:r>
    </w:p>
    <w:p>
      <w:pPr>
        <w:snapToGrid w:val="0"/>
        <w:spacing w:line="240" w:lineRule="auto"/>
        <w:ind w:left="420" w:leftChars="200"/>
        <w:rPr>
          <w:rFonts w:hint="eastAsia" w:ascii="仿宋" w:hAnsi="仿宋" w:eastAsia="仿宋" w:cs="仿宋"/>
          <w:b/>
          <w:bCs/>
          <w:sz w:val="21"/>
          <w:szCs w:val="21"/>
        </w:rPr>
      </w:pPr>
    </w:p>
    <w:p>
      <w:pPr>
        <w:snapToGrid w:val="0"/>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三、判断题</w:t>
      </w:r>
    </w:p>
    <w:p>
      <w:pPr>
        <w:snapToGrid w:val="0"/>
        <w:spacing w:line="240" w:lineRule="auto"/>
        <w:ind w:left="210" w:leftChars="100" w:firstLine="420" w:firstLineChars="200"/>
        <w:rPr>
          <w:rFonts w:hint="eastAsia" w:ascii="仿宋" w:hAnsi="仿宋" w:eastAsia="仿宋" w:cs="仿宋"/>
          <w:sz w:val="21"/>
          <w:szCs w:val="21"/>
        </w:rPr>
      </w:pPr>
      <w:r>
        <w:rPr>
          <w:rFonts w:hint="eastAsia" w:ascii="仿宋" w:hAnsi="仿宋" w:eastAsia="仿宋" w:cs="仿宋"/>
          <w:sz w:val="21"/>
          <w:szCs w:val="21"/>
        </w:rPr>
        <w:t>1、宏观经济因素对证券市场价格的影响是根本性的，也是全局性的和长期性的。（  ）</w:t>
      </w:r>
    </w:p>
    <w:p>
      <w:pPr>
        <w:snapToGrid w:val="0"/>
        <w:spacing w:line="240" w:lineRule="auto"/>
        <w:ind w:left="420" w:leftChars="200"/>
        <w:rPr>
          <w:rFonts w:hint="eastAsia" w:ascii="仿宋" w:hAnsi="仿宋" w:eastAsia="仿宋" w:cs="仿宋"/>
          <w:b/>
          <w:bCs/>
          <w:sz w:val="21"/>
          <w:szCs w:val="21"/>
        </w:rPr>
      </w:pPr>
    </w:p>
    <w:p>
      <w:pPr>
        <w:snapToGrid w:val="0"/>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四、名词解释</w:t>
      </w:r>
    </w:p>
    <w:p>
      <w:pPr>
        <w:snapToGrid w:val="0"/>
        <w:spacing w:line="240" w:lineRule="auto"/>
        <w:ind w:left="210" w:leftChars="100" w:firstLine="420" w:firstLineChars="200"/>
        <w:rPr>
          <w:rFonts w:hint="eastAsia" w:ascii="仿宋" w:hAnsi="仿宋" w:eastAsia="仿宋" w:cs="仿宋"/>
          <w:sz w:val="21"/>
          <w:szCs w:val="21"/>
        </w:rPr>
      </w:pPr>
      <w:r>
        <w:rPr>
          <w:rFonts w:hint="eastAsia" w:ascii="仿宋" w:hAnsi="仿宋" w:eastAsia="仿宋" w:cs="仿宋"/>
          <w:sz w:val="21"/>
          <w:szCs w:val="21"/>
        </w:rPr>
        <w:t>1.到期收益率</w:t>
      </w:r>
    </w:p>
    <w:p>
      <w:pPr>
        <w:snapToGrid w:val="0"/>
        <w:spacing w:line="240" w:lineRule="auto"/>
        <w:ind w:left="420" w:leftChars="200"/>
        <w:rPr>
          <w:rFonts w:hint="eastAsia" w:ascii="仿宋" w:hAnsi="仿宋" w:eastAsia="仿宋" w:cs="仿宋"/>
          <w:b/>
          <w:bCs/>
          <w:sz w:val="21"/>
          <w:szCs w:val="21"/>
        </w:rPr>
      </w:pPr>
    </w:p>
    <w:p>
      <w:pPr>
        <w:snapToGrid w:val="0"/>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五、简答题</w:t>
      </w:r>
    </w:p>
    <w:p>
      <w:pPr>
        <w:snapToGrid w:val="0"/>
        <w:spacing w:line="240" w:lineRule="auto"/>
        <w:ind w:left="210" w:leftChars="100" w:firstLine="420" w:firstLineChars="200"/>
        <w:rPr>
          <w:rFonts w:hint="eastAsia" w:ascii="仿宋" w:hAnsi="仿宋" w:eastAsia="仿宋" w:cs="仿宋"/>
          <w:sz w:val="21"/>
          <w:szCs w:val="21"/>
        </w:rPr>
      </w:pPr>
      <w:r>
        <w:rPr>
          <w:rFonts w:hint="eastAsia" w:ascii="仿宋" w:hAnsi="仿宋" w:eastAsia="仿宋" w:cs="仿宋"/>
          <w:sz w:val="21"/>
          <w:szCs w:val="21"/>
        </w:rPr>
        <w:t>1.简述证券投资技术分析的假设前提是什么？</w:t>
      </w:r>
    </w:p>
    <w:p>
      <w:pPr>
        <w:snapToGrid w:val="0"/>
        <w:spacing w:line="240" w:lineRule="auto"/>
        <w:ind w:left="420" w:leftChars="200"/>
        <w:rPr>
          <w:rFonts w:hint="eastAsia" w:ascii="仿宋" w:hAnsi="仿宋" w:eastAsia="仿宋" w:cs="仿宋"/>
          <w:b/>
          <w:bCs/>
          <w:sz w:val="21"/>
          <w:szCs w:val="21"/>
        </w:rPr>
      </w:pPr>
    </w:p>
    <w:p>
      <w:pPr>
        <w:snapToGrid w:val="0"/>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六、计算分析题</w:t>
      </w:r>
    </w:p>
    <w:p>
      <w:pPr>
        <w:snapToGrid w:val="0"/>
        <w:spacing w:line="240" w:lineRule="auto"/>
        <w:ind w:left="210" w:leftChars="100" w:firstLine="420" w:firstLineChars="200"/>
        <w:rPr>
          <w:rFonts w:hint="eastAsia" w:ascii="仿宋" w:hAnsi="仿宋" w:eastAsia="仿宋" w:cs="仿宋"/>
          <w:sz w:val="21"/>
          <w:szCs w:val="21"/>
        </w:rPr>
      </w:pPr>
      <w:r>
        <w:rPr>
          <w:rFonts w:hint="eastAsia" w:ascii="仿宋" w:hAnsi="仿宋" w:eastAsia="仿宋" w:cs="仿宋"/>
          <w:sz w:val="21"/>
          <w:szCs w:val="21"/>
        </w:rPr>
        <w:t>1、某投资者以1500元的价格购入一张期限为1年、年利率为10%的公司债券，若1年内通货膨胀率为4%，则该投资者的实际收益率为多少？</w:t>
      </w:r>
    </w:p>
    <w:p>
      <w:pPr>
        <w:snapToGrid w:val="0"/>
        <w:spacing w:line="240" w:lineRule="auto"/>
        <w:ind w:left="420" w:leftChars="200"/>
        <w:rPr>
          <w:rFonts w:hint="eastAsia" w:ascii="仿宋" w:hAnsi="仿宋" w:eastAsia="仿宋" w:cs="仿宋"/>
          <w:b/>
          <w:bCs/>
          <w:sz w:val="21"/>
          <w:szCs w:val="21"/>
        </w:rPr>
      </w:pPr>
    </w:p>
    <w:p>
      <w:pPr>
        <w:snapToGrid w:val="0"/>
        <w:spacing w:line="240" w:lineRule="auto"/>
        <w:ind w:left="420" w:leftChars="200"/>
        <w:rPr>
          <w:rFonts w:hint="eastAsia" w:ascii="仿宋" w:hAnsi="仿宋" w:eastAsia="仿宋" w:cs="仿宋"/>
          <w:b/>
          <w:bCs/>
          <w:sz w:val="21"/>
          <w:szCs w:val="21"/>
        </w:rPr>
      </w:pPr>
      <w:r>
        <w:rPr>
          <w:rFonts w:hint="eastAsia" w:ascii="仿宋" w:hAnsi="仿宋" w:eastAsia="仿宋" w:cs="仿宋"/>
          <w:b/>
          <w:bCs/>
          <w:sz w:val="21"/>
          <w:szCs w:val="21"/>
        </w:rPr>
        <w:t>七、论述题</w:t>
      </w:r>
    </w:p>
    <w:p>
      <w:pPr>
        <w:snapToGrid w:val="0"/>
        <w:spacing w:line="240" w:lineRule="auto"/>
        <w:ind w:left="630" w:leftChars="300"/>
        <w:rPr>
          <w:rFonts w:hint="eastAsia" w:ascii="仿宋" w:hAnsi="仿宋" w:eastAsia="仿宋" w:cs="仿宋"/>
          <w:sz w:val="21"/>
          <w:szCs w:val="21"/>
        </w:rPr>
      </w:pPr>
      <w:r>
        <w:rPr>
          <w:rFonts w:hint="eastAsia" w:ascii="仿宋" w:hAnsi="仿宋" w:eastAsia="仿宋" w:cs="仿宋"/>
          <w:sz w:val="21"/>
          <w:szCs w:val="21"/>
        </w:rPr>
        <w:t>证券投资基本分析与技术分析有什么区别与联系？</w:t>
      </w:r>
    </w:p>
    <w:sectPr>
      <w:headerReference r:id="rId3" w:type="default"/>
      <w:footerReference r:id="rId4" w:type="default"/>
      <w:footerReference r:id="rId5" w:type="even"/>
      <w:pgSz w:w="11907" w:h="16840"/>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6</w:t>
    </w:r>
    <w: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E64DC"/>
    <w:multiLevelType w:val="multilevel"/>
    <w:tmpl w:val="008E64DC"/>
    <w:lvl w:ilvl="0" w:tentative="0">
      <w:start w:val="1"/>
      <w:numFmt w:val="decimal"/>
      <w:lvlText w:val="%1."/>
      <w:lvlJc w:val="left"/>
      <w:pPr>
        <w:ind w:left="1070" w:hanging="440"/>
      </w:pPr>
    </w:lvl>
    <w:lvl w:ilvl="1" w:tentative="0">
      <w:start w:val="1"/>
      <w:numFmt w:val="lowerLetter"/>
      <w:lvlText w:val="%2)"/>
      <w:lvlJc w:val="left"/>
      <w:pPr>
        <w:ind w:left="1510" w:hanging="440"/>
      </w:pPr>
    </w:lvl>
    <w:lvl w:ilvl="2" w:tentative="0">
      <w:start w:val="1"/>
      <w:numFmt w:val="lowerRoman"/>
      <w:lvlText w:val="%3."/>
      <w:lvlJc w:val="right"/>
      <w:pPr>
        <w:ind w:left="1950" w:hanging="440"/>
      </w:pPr>
    </w:lvl>
    <w:lvl w:ilvl="3" w:tentative="0">
      <w:start w:val="1"/>
      <w:numFmt w:val="decimal"/>
      <w:lvlText w:val="%4."/>
      <w:lvlJc w:val="left"/>
      <w:pPr>
        <w:ind w:left="2390" w:hanging="440"/>
      </w:pPr>
    </w:lvl>
    <w:lvl w:ilvl="4" w:tentative="0">
      <w:start w:val="1"/>
      <w:numFmt w:val="lowerLetter"/>
      <w:lvlText w:val="%5)"/>
      <w:lvlJc w:val="left"/>
      <w:pPr>
        <w:ind w:left="2830" w:hanging="440"/>
      </w:pPr>
    </w:lvl>
    <w:lvl w:ilvl="5" w:tentative="0">
      <w:start w:val="1"/>
      <w:numFmt w:val="lowerRoman"/>
      <w:lvlText w:val="%6."/>
      <w:lvlJc w:val="right"/>
      <w:pPr>
        <w:ind w:left="3270" w:hanging="440"/>
      </w:pPr>
    </w:lvl>
    <w:lvl w:ilvl="6" w:tentative="0">
      <w:start w:val="1"/>
      <w:numFmt w:val="decimal"/>
      <w:lvlText w:val="%7."/>
      <w:lvlJc w:val="left"/>
      <w:pPr>
        <w:ind w:left="3710" w:hanging="440"/>
      </w:pPr>
    </w:lvl>
    <w:lvl w:ilvl="7" w:tentative="0">
      <w:start w:val="1"/>
      <w:numFmt w:val="lowerLetter"/>
      <w:lvlText w:val="%8)"/>
      <w:lvlJc w:val="left"/>
      <w:pPr>
        <w:ind w:left="4150" w:hanging="440"/>
      </w:pPr>
    </w:lvl>
    <w:lvl w:ilvl="8" w:tentative="0">
      <w:start w:val="1"/>
      <w:numFmt w:val="lowerRoman"/>
      <w:lvlText w:val="%9."/>
      <w:lvlJc w:val="right"/>
      <w:pPr>
        <w:ind w:left="4590" w:hanging="440"/>
      </w:pPr>
    </w:lvl>
  </w:abstractNum>
  <w:abstractNum w:abstractNumId="1">
    <w:nsid w:val="0B5D0FA2"/>
    <w:multiLevelType w:val="multilevel"/>
    <w:tmpl w:val="0B5D0FA2"/>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10E8544A"/>
    <w:multiLevelType w:val="multilevel"/>
    <w:tmpl w:val="10E8544A"/>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1BDC7E1B"/>
    <w:multiLevelType w:val="multilevel"/>
    <w:tmpl w:val="1BDC7E1B"/>
    <w:lvl w:ilvl="0" w:tentative="0">
      <w:start w:val="1"/>
      <w:numFmt w:val="decimal"/>
      <w:lvlText w:val="%1."/>
      <w:lvlJc w:val="left"/>
      <w:pPr>
        <w:ind w:left="950" w:hanging="440"/>
      </w:pPr>
    </w:lvl>
    <w:lvl w:ilvl="1" w:tentative="0">
      <w:start w:val="1"/>
      <w:numFmt w:val="lowerLetter"/>
      <w:lvlText w:val="%2)"/>
      <w:lvlJc w:val="left"/>
      <w:pPr>
        <w:ind w:left="1390" w:hanging="440"/>
      </w:pPr>
    </w:lvl>
    <w:lvl w:ilvl="2" w:tentative="0">
      <w:start w:val="1"/>
      <w:numFmt w:val="lowerRoman"/>
      <w:lvlText w:val="%3."/>
      <w:lvlJc w:val="right"/>
      <w:pPr>
        <w:ind w:left="1830" w:hanging="440"/>
      </w:pPr>
    </w:lvl>
    <w:lvl w:ilvl="3" w:tentative="0">
      <w:start w:val="1"/>
      <w:numFmt w:val="decimal"/>
      <w:lvlText w:val="%4."/>
      <w:lvlJc w:val="left"/>
      <w:pPr>
        <w:ind w:left="2270" w:hanging="440"/>
      </w:pPr>
    </w:lvl>
    <w:lvl w:ilvl="4" w:tentative="0">
      <w:start w:val="1"/>
      <w:numFmt w:val="lowerLetter"/>
      <w:lvlText w:val="%5)"/>
      <w:lvlJc w:val="left"/>
      <w:pPr>
        <w:ind w:left="2710" w:hanging="440"/>
      </w:pPr>
    </w:lvl>
    <w:lvl w:ilvl="5" w:tentative="0">
      <w:start w:val="1"/>
      <w:numFmt w:val="lowerRoman"/>
      <w:lvlText w:val="%6."/>
      <w:lvlJc w:val="right"/>
      <w:pPr>
        <w:ind w:left="3150" w:hanging="440"/>
      </w:pPr>
    </w:lvl>
    <w:lvl w:ilvl="6" w:tentative="0">
      <w:start w:val="1"/>
      <w:numFmt w:val="decimal"/>
      <w:lvlText w:val="%7."/>
      <w:lvlJc w:val="left"/>
      <w:pPr>
        <w:ind w:left="3590" w:hanging="440"/>
      </w:pPr>
    </w:lvl>
    <w:lvl w:ilvl="7" w:tentative="0">
      <w:start w:val="1"/>
      <w:numFmt w:val="lowerLetter"/>
      <w:lvlText w:val="%8)"/>
      <w:lvlJc w:val="left"/>
      <w:pPr>
        <w:ind w:left="4030" w:hanging="440"/>
      </w:pPr>
    </w:lvl>
    <w:lvl w:ilvl="8" w:tentative="0">
      <w:start w:val="1"/>
      <w:numFmt w:val="lowerRoman"/>
      <w:lvlText w:val="%9."/>
      <w:lvlJc w:val="right"/>
      <w:pPr>
        <w:ind w:left="4470" w:hanging="440"/>
      </w:pPr>
    </w:lvl>
  </w:abstractNum>
  <w:abstractNum w:abstractNumId="4">
    <w:nsid w:val="1E5A2334"/>
    <w:multiLevelType w:val="multilevel"/>
    <w:tmpl w:val="1E5A2334"/>
    <w:lvl w:ilvl="0" w:tentative="0">
      <w:start w:val="1"/>
      <w:numFmt w:val="japaneseCounting"/>
      <w:lvlText w:val="第%1节"/>
      <w:lvlJc w:val="left"/>
      <w:pPr>
        <w:ind w:left="1160" w:hanging="74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
    <w:nsid w:val="3410121F"/>
    <w:multiLevelType w:val="multilevel"/>
    <w:tmpl w:val="3410121F"/>
    <w:lvl w:ilvl="0" w:tentative="0">
      <w:start w:val="1"/>
      <w:numFmt w:val="decimal"/>
      <w:lvlText w:val="%1."/>
      <w:lvlJc w:val="left"/>
      <w:pPr>
        <w:ind w:left="1070" w:hanging="440"/>
      </w:pPr>
    </w:lvl>
    <w:lvl w:ilvl="1" w:tentative="0">
      <w:start w:val="1"/>
      <w:numFmt w:val="lowerLetter"/>
      <w:lvlText w:val="%2)"/>
      <w:lvlJc w:val="left"/>
      <w:pPr>
        <w:ind w:left="1510" w:hanging="440"/>
      </w:pPr>
    </w:lvl>
    <w:lvl w:ilvl="2" w:tentative="0">
      <w:start w:val="1"/>
      <w:numFmt w:val="lowerRoman"/>
      <w:lvlText w:val="%3."/>
      <w:lvlJc w:val="right"/>
      <w:pPr>
        <w:ind w:left="1950" w:hanging="440"/>
      </w:pPr>
    </w:lvl>
    <w:lvl w:ilvl="3" w:tentative="0">
      <w:start w:val="1"/>
      <w:numFmt w:val="decimal"/>
      <w:lvlText w:val="%4."/>
      <w:lvlJc w:val="left"/>
      <w:pPr>
        <w:ind w:left="2390" w:hanging="440"/>
      </w:pPr>
    </w:lvl>
    <w:lvl w:ilvl="4" w:tentative="0">
      <w:start w:val="1"/>
      <w:numFmt w:val="lowerLetter"/>
      <w:lvlText w:val="%5)"/>
      <w:lvlJc w:val="left"/>
      <w:pPr>
        <w:ind w:left="2830" w:hanging="440"/>
      </w:pPr>
    </w:lvl>
    <w:lvl w:ilvl="5" w:tentative="0">
      <w:start w:val="1"/>
      <w:numFmt w:val="lowerRoman"/>
      <w:lvlText w:val="%6."/>
      <w:lvlJc w:val="right"/>
      <w:pPr>
        <w:ind w:left="3270" w:hanging="440"/>
      </w:pPr>
    </w:lvl>
    <w:lvl w:ilvl="6" w:tentative="0">
      <w:start w:val="1"/>
      <w:numFmt w:val="decimal"/>
      <w:lvlText w:val="%7."/>
      <w:lvlJc w:val="left"/>
      <w:pPr>
        <w:ind w:left="3710" w:hanging="440"/>
      </w:pPr>
    </w:lvl>
    <w:lvl w:ilvl="7" w:tentative="0">
      <w:start w:val="1"/>
      <w:numFmt w:val="lowerLetter"/>
      <w:lvlText w:val="%8)"/>
      <w:lvlJc w:val="left"/>
      <w:pPr>
        <w:ind w:left="4150" w:hanging="440"/>
      </w:pPr>
    </w:lvl>
    <w:lvl w:ilvl="8" w:tentative="0">
      <w:start w:val="1"/>
      <w:numFmt w:val="lowerRoman"/>
      <w:lvlText w:val="%9."/>
      <w:lvlJc w:val="right"/>
      <w:pPr>
        <w:ind w:left="4590" w:hanging="440"/>
      </w:pPr>
    </w:lvl>
  </w:abstractNum>
  <w:abstractNum w:abstractNumId="6">
    <w:nsid w:val="374223EE"/>
    <w:multiLevelType w:val="multilevel"/>
    <w:tmpl w:val="374223EE"/>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
    <w:nsid w:val="47E56393"/>
    <w:multiLevelType w:val="multilevel"/>
    <w:tmpl w:val="47E56393"/>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4CB04916"/>
    <w:multiLevelType w:val="multilevel"/>
    <w:tmpl w:val="4CB04916"/>
    <w:lvl w:ilvl="0" w:tentative="0">
      <w:start w:val="1"/>
      <w:numFmt w:val="decimal"/>
      <w:lvlText w:val="%1."/>
      <w:lvlJc w:val="left"/>
      <w:pPr>
        <w:ind w:left="950" w:hanging="440"/>
      </w:pPr>
    </w:lvl>
    <w:lvl w:ilvl="1" w:tentative="0">
      <w:start w:val="1"/>
      <w:numFmt w:val="lowerLetter"/>
      <w:lvlText w:val="%2)"/>
      <w:lvlJc w:val="left"/>
      <w:pPr>
        <w:ind w:left="1390" w:hanging="440"/>
      </w:pPr>
    </w:lvl>
    <w:lvl w:ilvl="2" w:tentative="0">
      <w:start w:val="1"/>
      <w:numFmt w:val="lowerRoman"/>
      <w:lvlText w:val="%3."/>
      <w:lvlJc w:val="right"/>
      <w:pPr>
        <w:ind w:left="1830" w:hanging="440"/>
      </w:pPr>
    </w:lvl>
    <w:lvl w:ilvl="3" w:tentative="0">
      <w:start w:val="1"/>
      <w:numFmt w:val="decimal"/>
      <w:lvlText w:val="%4."/>
      <w:lvlJc w:val="left"/>
      <w:pPr>
        <w:ind w:left="2270" w:hanging="440"/>
      </w:pPr>
    </w:lvl>
    <w:lvl w:ilvl="4" w:tentative="0">
      <w:start w:val="1"/>
      <w:numFmt w:val="lowerLetter"/>
      <w:lvlText w:val="%5)"/>
      <w:lvlJc w:val="left"/>
      <w:pPr>
        <w:ind w:left="2710" w:hanging="440"/>
      </w:pPr>
    </w:lvl>
    <w:lvl w:ilvl="5" w:tentative="0">
      <w:start w:val="1"/>
      <w:numFmt w:val="lowerRoman"/>
      <w:lvlText w:val="%6."/>
      <w:lvlJc w:val="right"/>
      <w:pPr>
        <w:ind w:left="3150" w:hanging="440"/>
      </w:pPr>
    </w:lvl>
    <w:lvl w:ilvl="6" w:tentative="0">
      <w:start w:val="1"/>
      <w:numFmt w:val="decimal"/>
      <w:lvlText w:val="%7."/>
      <w:lvlJc w:val="left"/>
      <w:pPr>
        <w:ind w:left="3590" w:hanging="440"/>
      </w:pPr>
    </w:lvl>
    <w:lvl w:ilvl="7" w:tentative="0">
      <w:start w:val="1"/>
      <w:numFmt w:val="lowerLetter"/>
      <w:lvlText w:val="%8)"/>
      <w:lvlJc w:val="left"/>
      <w:pPr>
        <w:ind w:left="4030" w:hanging="440"/>
      </w:pPr>
    </w:lvl>
    <w:lvl w:ilvl="8" w:tentative="0">
      <w:start w:val="1"/>
      <w:numFmt w:val="lowerRoman"/>
      <w:lvlText w:val="%9."/>
      <w:lvlJc w:val="right"/>
      <w:pPr>
        <w:ind w:left="4470" w:hanging="440"/>
      </w:pPr>
    </w:lvl>
  </w:abstractNum>
  <w:abstractNum w:abstractNumId="9">
    <w:nsid w:val="4F8027EB"/>
    <w:multiLevelType w:val="multilevel"/>
    <w:tmpl w:val="4F8027EB"/>
    <w:lvl w:ilvl="0" w:tentative="0">
      <w:start w:val="1"/>
      <w:numFmt w:val="decimal"/>
      <w:lvlText w:val="%1."/>
      <w:lvlJc w:val="left"/>
      <w:pPr>
        <w:ind w:left="1070" w:hanging="440"/>
      </w:pPr>
    </w:lvl>
    <w:lvl w:ilvl="1" w:tentative="0">
      <w:start w:val="1"/>
      <w:numFmt w:val="lowerLetter"/>
      <w:lvlText w:val="%2)"/>
      <w:lvlJc w:val="left"/>
      <w:pPr>
        <w:ind w:left="1510" w:hanging="440"/>
      </w:pPr>
    </w:lvl>
    <w:lvl w:ilvl="2" w:tentative="0">
      <w:start w:val="1"/>
      <w:numFmt w:val="lowerRoman"/>
      <w:lvlText w:val="%3."/>
      <w:lvlJc w:val="right"/>
      <w:pPr>
        <w:ind w:left="1950" w:hanging="440"/>
      </w:pPr>
    </w:lvl>
    <w:lvl w:ilvl="3" w:tentative="0">
      <w:start w:val="1"/>
      <w:numFmt w:val="decimal"/>
      <w:lvlText w:val="%4."/>
      <w:lvlJc w:val="left"/>
      <w:pPr>
        <w:ind w:left="2390" w:hanging="440"/>
      </w:pPr>
    </w:lvl>
    <w:lvl w:ilvl="4" w:tentative="0">
      <w:start w:val="1"/>
      <w:numFmt w:val="lowerLetter"/>
      <w:lvlText w:val="%5)"/>
      <w:lvlJc w:val="left"/>
      <w:pPr>
        <w:ind w:left="2830" w:hanging="440"/>
      </w:pPr>
    </w:lvl>
    <w:lvl w:ilvl="5" w:tentative="0">
      <w:start w:val="1"/>
      <w:numFmt w:val="lowerRoman"/>
      <w:lvlText w:val="%6."/>
      <w:lvlJc w:val="right"/>
      <w:pPr>
        <w:ind w:left="3270" w:hanging="440"/>
      </w:pPr>
    </w:lvl>
    <w:lvl w:ilvl="6" w:tentative="0">
      <w:start w:val="1"/>
      <w:numFmt w:val="decimal"/>
      <w:lvlText w:val="%7."/>
      <w:lvlJc w:val="left"/>
      <w:pPr>
        <w:ind w:left="3710" w:hanging="440"/>
      </w:pPr>
    </w:lvl>
    <w:lvl w:ilvl="7" w:tentative="0">
      <w:start w:val="1"/>
      <w:numFmt w:val="lowerLetter"/>
      <w:lvlText w:val="%8)"/>
      <w:lvlJc w:val="left"/>
      <w:pPr>
        <w:ind w:left="4150" w:hanging="440"/>
      </w:pPr>
    </w:lvl>
    <w:lvl w:ilvl="8" w:tentative="0">
      <w:start w:val="1"/>
      <w:numFmt w:val="lowerRoman"/>
      <w:lvlText w:val="%9."/>
      <w:lvlJc w:val="right"/>
      <w:pPr>
        <w:ind w:left="4590" w:hanging="440"/>
      </w:pPr>
    </w:lvl>
  </w:abstractNum>
  <w:abstractNum w:abstractNumId="10">
    <w:nsid w:val="63D77B5B"/>
    <w:multiLevelType w:val="multilevel"/>
    <w:tmpl w:val="63D77B5B"/>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64027A81"/>
    <w:multiLevelType w:val="multilevel"/>
    <w:tmpl w:val="64027A81"/>
    <w:lvl w:ilvl="0" w:tentative="0">
      <w:start w:val="1"/>
      <w:numFmt w:val="japaneseCounting"/>
      <w:lvlText w:val="第%1节"/>
      <w:lvlJc w:val="left"/>
      <w:pPr>
        <w:ind w:left="1580" w:hanging="740"/>
      </w:pPr>
      <w:rPr>
        <w:rFonts w:hint="default"/>
      </w:rPr>
    </w:lvl>
    <w:lvl w:ilvl="1" w:tentative="0">
      <w:start w:val="1"/>
      <w:numFmt w:val="lowerLetter"/>
      <w:lvlText w:val="%2)"/>
      <w:lvlJc w:val="left"/>
      <w:pPr>
        <w:ind w:left="1720" w:hanging="440"/>
      </w:pPr>
    </w:lvl>
    <w:lvl w:ilvl="2" w:tentative="0">
      <w:start w:val="1"/>
      <w:numFmt w:val="lowerRoman"/>
      <w:lvlText w:val="%3."/>
      <w:lvlJc w:val="right"/>
      <w:pPr>
        <w:ind w:left="2160" w:hanging="440"/>
      </w:pPr>
    </w:lvl>
    <w:lvl w:ilvl="3" w:tentative="0">
      <w:start w:val="1"/>
      <w:numFmt w:val="decimal"/>
      <w:lvlText w:val="%4."/>
      <w:lvlJc w:val="left"/>
      <w:pPr>
        <w:ind w:left="2600" w:hanging="440"/>
      </w:pPr>
    </w:lvl>
    <w:lvl w:ilvl="4" w:tentative="0">
      <w:start w:val="1"/>
      <w:numFmt w:val="lowerLetter"/>
      <w:lvlText w:val="%5)"/>
      <w:lvlJc w:val="left"/>
      <w:pPr>
        <w:ind w:left="3040" w:hanging="440"/>
      </w:pPr>
    </w:lvl>
    <w:lvl w:ilvl="5" w:tentative="0">
      <w:start w:val="1"/>
      <w:numFmt w:val="lowerRoman"/>
      <w:lvlText w:val="%6."/>
      <w:lvlJc w:val="right"/>
      <w:pPr>
        <w:ind w:left="3480" w:hanging="440"/>
      </w:pPr>
    </w:lvl>
    <w:lvl w:ilvl="6" w:tentative="0">
      <w:start w:val="1"/>
      <w:numFmt w:val="decimal"/>
      <w:lvlText w:val="%7."/>
      <w:lvlJc w:val="left"/>
      <w:pPr>
        <w:ind w:left="3920" w:hanging="440"/>
      </w:pPr>
    </w:lvl>
    <w:lvl w:ilvl="7" w:tentative="0">
      <w:start w:val="1"/>
      <w:numFmt w:val="lowerLetter"/>
      <w:lvlText w:val="%8)"/>
      <w:lvlJc w:val="left"/>
      <w:pPr>
        <w:ind w:left="4360" w:hanging="440"/>
      </w:pPr>
    </w:lvl>
    <w:lvl w:ilvl="8" w:tentative="0">
      <w:start w:val="1"/>
      <w:numFmt w:val="lowerRoman"/>
      <w:lvlText w:val="%9."/>
      <w:lvlJc w:val="right"/>
      <w:pPr>
        <w:ind w:left="4800" w:hanging="440"/>
      </w:pPr>
    </w:lvl>
  </w:abstractNum>
  <w:abstractNum w:abstractNumId="12">
    <w:nsid w:val="6A3C4576"/>
    <w:multiLevelType w:val="multilevel"/>
    <w:tmpl w:val="6A3C4576"/>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3">
    <w:nsid w:val="7C0B0625"/>
    <w:multiLevelType w:val="multilevel"/>
    <w:tmpl w:val="7C0B0625"/>
    <w:lvl w:ilvl="0" w:tentative="0">
      <w:start w:val="1"/>
      <w:numFmt w:val="japaneseCounting"/>
      <w:lvlText w:val="第%1节"/>
      <w:lvlJc w:val="left"/>
      <w:pPr>
        <w:ind w:left="1160" w:hanging="74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4">
    <w:nsid w:val="7E166090"/>
    <w:multiLevelType w:val="multilevel"/>
    <w:tmpl w:val="7E166090"/>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5">
    <w:nsid w:val="7F8E4ACC"/>
    <w:multiLevelType w:val="multilevel"/>
    <w:tmpl w:val="7F8E4ACC"/>
    <w:lvl w:ilvl="0" w:tentative="0">
      <w:start w:val="1"/>
      <w:numFmt w:val="decimal"/>
      <w:lvlText w:val="%1."/>
      <w:lvlJc w:val="left"/>
      <w:pPr>
        <w:ind w:left="860" w:hanging="440"/>
      </w:p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10"/>
  </w:num>
  <w:num w:numId="2">
    <w:abstractNumId w:val="2"/>
  </w:num>
  <w:num w:numId="3">
    <w:abstractNumId w:val="1"/>
  </w:num>
  <w:num w:numId="4">
    <w:abstractNumId w:val="7"/>
  </w:num>
  <w:num w:numId="5">
    <w:abstractNumId w:val="15"/>
  </w:num>
  <w:num w:numId="6">
    <w:abstractNumId w:val="8"/>
  </w:num>
  <w:num w:numId="7">
    <w:abstractNumId w:val="3"/>
  </w:num>
  <w:num w:numId="8">
    <w:abstractNumId w:val="9"/>
  </w:num>
  <w:num w:numId="9">
    <w:abstractNumId w:val="0"/>
  </w:num>
  <w:num w:numId="10">
    <w:abstractNumId w:val="5"/>
  </w:num>
  <w:num w:numId="11">
    <w:abstractNumId w:val="11"/>
  </w:num>
  <w:num w:numId="12">
    <w:abstractNumId w:val="14"/>
  </w:num>
  <w:num w:numId="13">
    <w:abstractNumId w:val="13"/>
  </w:num>
  <w:num w:numId="14">
    <w:abstractNumId w:val="12"/>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1B23F5"/>
    <w:rsid w:val="00004715"/>
    <w:rsid w:val="000307C5"/>
    <w:rsid w:val="00043490"/>
    <w:rsid w:val="00044AC4"/>
    <w:rsid w:val="000630B2"/>
    <w:rsid w:val="000737F6"/>
    <w:rsid w:val="0009208D"/>
    <w:rsid w:val="000A4F0D"/>
    <w:rsid w:val="000A72F2"/>
    <w:rsid w:val="000B10A9"/>
    <w:rsid w:val="000B79BD"/>
    <w:rsid w:val="000E3CE3"/>
    <w:rsid w:val="000E5971"/>
    <w:rsid w:val="000F2D29"/>
    <w:rsid w:val="0010274C"/>
    <w:rsid w:val="00131CF8"/>
    <w:rsid w:val="00133ACD"/>
    <w:rsid w:val="00152BFC"/>
    <w:rsid w:val="00155784"/>
    <w:rsid w:val="00174722"/>
    <w:rsid w:val="0019158C"/>
    <w:rsid w:val="00193E1B"/>
    <w:rsid w:val="0019577B"/>
    <w:rsid w:val="001A4E10"/>
    <w:rsid w:val="001B23F5"/>
    <w:rsid w:val="001E1343"/>
    <w:rsid w:val="001E51A0"/>
    <w:rsid w:val="001F0C92"/>
    <w:rsid w:val="001F5B46"/>
    <w:rsid w:val="001F6F45"/>
    <w:rsid w:val="00200B1B"/>
    <w:rsid w:val="00201862"/>
    <w:rsid w:val="002158FA"/>
    <w:rsid w:val="00220F76"/>
    <w:rsid w:val="002346A1"/>
    <w:rsid w:val="00240F7D"/>
    <w:rsid w:val="00256B66"/>
    <w:rsid w:val="002701DB"/>
    <w:rsid w:val="00272838"/>
    <w:rsid w:val="002779C5"/>
    <w:rsid w:val="002A170F"/>
    <w:rsid w:val="002B7848"/>
    <w:rsid w:val="002D7829"/>
    <w:rsid w:val="002F4B28"/>
    <w:rsid w:val="00307D61"/>
    <w:rsid w:val="003333D1"/>
    <w:rsid w:val="0034503F"/>
    <w:rsid w:val="003652BB"/>
    <w:rsid w:val="003940C9"/>
    <w:rsid w:val="003A2B8D"/>
    <w:rsid w:val="003B0986"/>
    <w:rsid w:val="003B5DF6"/>
    <w:rsid w:val="003D3264"/>
    <w:rsid w:val="003D49E5"/>
    <w:rsid w:val="003E090C"/>
    <w:rsid w:val="003F661D"/>
    <w:rsid w:val="00413888"/>
    <w:rsid w:val="004303CC"/>
    <w:rsid w:val="00460595"/>
    <w:rsid w:val="00465AD8"/>
    <w:rsid w:val="00466044"/>
    <w:rsid w:val="004C551D"/>
    <w:rsid w:val="004D6F8B"/>
    <w:rsid w:val="004E04D6"/>
    <w:rsid w:val="0052070A"/>
    <w:rsid w:val="00530177"/>
    <w:rsid w:val="00534678"/>
    <w:rsid w:val="00536600"/>
    <w:rsid w:val="0054041A"/>
    <w:rsid w:val="00542C15"/>
    <w:rsid w:val="00546D8A"/>
    <w:rsid w:val="00567621"/>
    <w:rsid w:val="005910AD"/>
    <w:rsid w:val="005A2DFB"/>
    <w:rsid w:val="005F2EDF"/>
    <w:rsid w:val="00604911"/>
    <w:rsid w:val="00616591"/>
    <w:rsid w:val="006215B2"/>
    <w:rsid w:val="006251A1"/>
    <w:rsid w:val="006276E8"/>
    <w:rsid w:val="0064438F"/>
    <w:rsid w:val="00654B71"/>
    <w:rsid w:val="0066220C"/>
    <w:rsid w:val="00672157"/>
    <w:rsid w:val="00673BD7"/>
    <w:rsid w:val="00691D42"/>
    <w:rsid w:val="006B6518"/>
    <w:rsid w:val="006B6BAB"/>
    <w:rsid w:val="006C0077"/>
    <w:rsid w:val="006D39CA"/>
    <w:rsid w:val="006E115A"/>
    <w:rsid w:val="007011C2"/>
    <w:rsid w:val="00705B44"/>
    <w:rsid w:val="00706570"/>
    <w:rsid w:val="0072449A"/>
    <w:rsid w:val="00736E33"/>
    <w:rsid w:val="007559D1"/>
    <w:rsid w:val="00763A3F"/>
    <w:rsid w:val="00786A1E"/>
    <w:rsid w:val="007C109C"/>
    <w:rsid w:val="007C3BCA"/>
    <w:rsid w:val="007C5BA7"/>
    <w:rsid w:val="007D617B"/>
    <w:rsid w:val="00800B1A"/>
    <w:rsid w:val="00801732"/>
    <w:rsid w:val="008060AE"/>
    <w:rsid w:val="00824952"/>
    <w:rsid w:val="00836012"/>
    <w:rsid w:val="00841A24"/>
    <w:rsid w:val="008465F8"/>
    <w:rsid w:val="008552A2"/>
    <w:rsid w:val="00864182"/>
    <w:rsid w:val="0088138E"/>
    <w:rsid w:val="00892722"/>
    <w:rsid w:val="008C78AF"/>
    <w:rsid w:val="008D3899"/>
    <w:rsid w:val="008D46F5"/>
    <w:rsid w:val="00910D3F"/>
    <w:rsid w:val="00913911"/>
    <w:rsid w:val="00926C71"/>
    <w:rsid w:val="0094124F"/>
    <w:rsid w:val="00944CA3"/>
    <w:rsid w:val="00953683"/>
    <w:rsid w:val="00954A6C"/>
    <w:rsid w:val="009559FE"/>
    <w:rsid w:val="009716F0"/>
    <w:rsid w:val="0098445E"/>
    <w:rsid w:val="0098595D"/>
    <w:rsid w:val="009967D7"/>
    <w:rsid w:val="009A22E5"/>
    <w:rsid w:val="009B0D30"/>
    <w:rsid w:val="009B1159"/>
    <w:rsid w:val="009B3548"/>
    <w:rsid w:val="009D5A7B"/>
    <w:rsid w:val="009E3D52"/>
    <w:rsid w:val="009E477C"/>
    <w:rsid w:val="009F4AF7"/>
    <w:rsid w:val="009F7402"/>
    <w:rsid w:val="00A26C78"/>
    <w:rsid w:val="00A475BD"/>
    <w:rsid w:val="00A537FA"/>
    <w:rsid w:val="00A9218E"/>
    <w:rsid w:val="00AA39C5"/>
    <w:rsid w:val="00AC7671"/>
    <w:rsid w:val="00AD2444"/>
    <w:rsid w:val="00AF5F08"/>
    <w:rsid w:val="00B17096"/>
    <w:rsid w:val="00B52C35"/>
    <w:rsid w:val="00B52CFC"/>
    <w:rsid w:val="00B60C57"/>
    <w:rsid w:val="00B664D8"/>
    <w:rsid w:val="00B71452"/>
    <w:rsid w:val="00B72DB6"/>
    <w:rsid w:val="00BB7381"/>
    <w:rsid w:val="00BC4AD6"/>
    <w:rsid w:val="00BD661D"/>
    <w:rsid w:val="00BE0614"/>
    <w:rsid w:val="00BE77A4"/>
    <w:rsid w:val="00BF2362"/>
    <w:rsid w:val="00BF3C8B"/>
    <w:rsid w:val="00C0633D"/>
    <w:rsid w:val="00C24D40"/>
    <w:rsid w:val="00C27CBB"/>
    <w:rsid w:val="00C62287"/>
    <w:rsid w:val="00C9194F"/>
    <w:rsid w:val="00CC2CCD"/>
    <w:rsid w:val="00CE3DFD"/>
    <w:rsid w:val="00CF2023"/>
    <w:rsid w:val="00CF3692"/>
    <w:rsid w:val="00D15DE0"/>
    <w:rsid w:val="00D24DE7"/>
    <w:rsid w:val="00D37311"/>
    <w:rsid w:val="00D504D6"/>
    <w:rsid w:val="00D559EA"/>
    <w:rsid w:val="00D808B5"/>
    <w:rsid w:val="00DA4272"/>
    <w:rsid w:val="00DB7A20"/>
    <w:rsid w:val="00DD1223"/>
    <w:rsid w:val="00DD6158"/>
    <w:rsid w:val="00DE7C4F"/>
    <w:rsid w:val="00DF6F66"/>
    <w:rsid w:val="00E00AD2"/>
    <w:rsid w:val="00E018EC"/>
    <w:rsid w:val="00E07DCE"/>
    <w:rsid w:val="00E13F2F"/>
    <w:rsid w:val="00E2507A"/>
    <w:rsid w:val="00E27E2A"/>
    <w:rsid w:val="00E348ED"/>
    <w:rsid w:val="00E40A96"/>
    <w:rsid w:val="00E55842"/>
    <w:rsid w:val="00E70A37"/>
    <w:rsid w:val="00E7520E"/>
    <w:rsid w:val="00E77270"/>
    <w:rsid w:val="00E81375"/>
    <w:rsid w:val="00E93B0D"/>
    <w:rsid w:val="00EB23D7"/>
    <w:rsid w:val="00EB6B82"/>
    <w:rsid w:val="00EC214C"/>
    <w:rsid w:val="00EC6219"/>
    <w:rsid w:val="00EC7788"/>
    <w:rsid w:val="00ED3D42"/>
    <w:rsid w:val="00EE0E51"/>
    <w:rsid w:val="00F0177D"/>
    <w:rsid w:val="00F02ADD"/>
    <w:rsid w:val="00F07FE4"/>
    <w:rsid w:val="00F106B6"/>
    <w:rsid w:val="00F12700"/>
    <w:rsid w:val="00F1742C"/>
    <w:rsid w:val="00F2034A"/>
    <w:rsid w:val="00F23887"/>
    <w:rsid w:val="00F30831"/>
    <w:rsid w:val="00F36C28"/>
    <w:rsid w:val="00F504DC"/>
    <w:rsid w:val="00F60716"/>
    <w:rsid w:val="00FA2C3C"/>
    <w:rsid w:val="00FA52C5"/>
    <w:rsid w:val="00FB05B4"/>
    <w:rsid w:val="00FB57C2"/>
    <w:rsid w:val="00FC4074"/>
    <w:rsid w:val="00FD5D0B"/>
    <w:rsid w:val="00FE2385"/>
    <w:rsid w:val="00FF1A13"/>
    <w:rsid w:val="037554A9"/>
    <w:rsid w:val="2D7E3B28"/>
    <w:rsid w:val="3A72182A"/>
    <w:rsid w:val="3ABB7A73"/>
    <w:rsid w:val="407F6A7A"/>
    <w:rsid w:val="436F532E"/>
    <w:rsid w:val="4AE470B2"/>
    <w:rsid w:val="53984C40"/>
    <w:rsid w:val="559A0299"/>
    <w:rsid w:val="5F2811F5"/>
    <w:rsid w:val="664B0FE7"/>
    <w:rsid w:val="6CB71B50"/>
    <w:rsid w:val="76B81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link w:val="16"/>
    <w:qFormat/>
    <w:uiPriority w:val="9"/>
    <w:pPr>
      <w:widowControl/>
      <w:spacing w:before="100" w:beforeAutospacing="1" w:after="100" w:afterAutospacing="1"/>
      <w:jc w:val="left"/>
      <w:outlineLvl w:val="2"/>
    </w:pPr>
    <w:rPr>
      <w:rFonts w:ascii="宋体" w:hAnsi="宋体" w:cs="宋体"/>
      <w:b/>
      <w:bCs/>
      <w:kern w:val="0"/>
      <w:sz w:val="27"/>
      <w:szCs w:val="27"/>
    </w:rPr>
  </w:style>
  <w:style w:type="paragraph" w:styleId="3">
    <w:name w:val="heading 4"/>
    <w:basedOn w:val="1"/>
    <w:link w:val="17"/>
    <w:qFormat/>
    <w:uiPriority w:val="9"/>
    <w:pPr>
      <w:widowControl/>
      <w:spacing w:before="100" w:beforeAutospacing="1" w:after="100" w:afterAutospacing="1"/>
      <w:jc w:val="left"/>
      <w:outlineLvl w:val="3"/>
    </w:pPr>
    <w:rPr>
      <w:rFonts w:ascii="宋体" w:hAnsi="宋体" w:cs="宋体"/>
      <w:b/>
      <w:bCs/>
      <w:kern w:val="0"/>
      <w:sz w:val="24"/>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style>
  <w:style w:type="paragraph" w:styleId="5">
    <w:name w:val="Plain Text"/>
    <w:basedOn w:val="1"/>
    <w:qFormat/>
    <w:uiPriority w:val="0"/>
    <w:pPr>
      <w:jc w:val="center"/>
    </w:pPr>
    <w:rPr>
      <w:rFonts w:ascii="仿宋_GB2312" w:hAnsi="Courier New" w:eastAsia="仿宋_GB2312" w:cs="Courier New"/>
      <w:color w:val="000000"/>
      <w:sz w:val="32"/>
      <w:szCs w:val="21"/>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uiPriority w:val="0"/>
    <w:pPr>
      <w:ind w:left="1" w:firstLine="720" w:firstLineChars="240"/>
    </w:pPr>
    <w:rPr>
      <w:sz w:val="30"/>
      <w:szCs w:val="21"/>
    </w:rPr>
  </w:style>
  <w:style w:type="paragraph" w:styleId="9">
    <w:name w:val="Normal (Web)"/>
    <w:basedOn w:val="1"/>
    <w:qFormat/>
    <w:uiPriority w:val="99"/>
    <w:pPr>
      <w:widowControl/>
      <w:spacing w:before="100" w:beforeAutospacing="1" w:after="100" w:afterAutospacing="1"/>
      <w:jc w:val="left"/>
    </w:pPr>
    <w:rPr>
      <w:rFonts w:ascii="Arial Unicode MS" w:hAnsi="Arial Unicode MS" w:eastAsia="Arial Unicode MS" w:cs="Arial Unicode MS"/>
      <w:color w:val="000000"/>
      <w:kern w:val="0"/>
      <w:sz w:val="24"/>
    </w:rPr>
  </w:style>
  <w:style w:type="character" w:styleId="12">
    <w:name w:val="Strong"/>
    <w:qFormat/>
    <w:uiPriority w:val="22"/>
    <w:rPr>
      <w:b/>
      <w:bCs/>
    </w:rPr>
  </w:style>
  <w:style w:type="character" w:styleId="13">
    <w:name w:val="page number"/>
    <w:qFormat/>
    <w:uiPriority w:val="0"/>
  </w:style>
  <w:style w:type="character" w:styleId="14">
    <w:name w:val="Hyperlink"/>
    <w:qFormat/>
    <w:uiPriority w:val="0"/>
    <w:rPr>
      <w:color w:val="000000"/>
      <w:u w:val="none"/>
    </w:rPr>
  </w:style>
  <w:style w:type="character" w:customStyle="1" w:styleId="15">
    <w:name w:val="style40"/>
    <w:qFormat/>
    <w:uiPriority w:val="0"/>
  </w:style>
  <w:style w:type="character" w:customStyle="1" w:styleId="16">
    <w:name w:val="标题 3 字符"/>
    <w:basedOn w:val="11"/>
    <w:link w:val="2"/>
    <w:qFormat/>
    <w:uiPriority w:val="9"/>
    <w:rPr>
      <w:rFonts w:ascii="宋体" w:hAnsi="宋体" w:cs="宋体"/>
      <w:b/>
      <w:bCs/>
      <w:sz w:val="27"/>
      <w:szCs w:val="27"/>
    </w:rPr>
  </w:style>
  <w:style w:type="character" w:customStyle="1" w:styleId="17">
    <w:name w:val="标题 4 字符"/>
    <w:basedOn w:val="11"/>
    <w:link w:val="3"/>
    <w:qFormat/>
    <w:uiPriority w:val="9"/>
    <w:rPr>
      <w:rFonts w:ascii="宋体" w:hAnsi="宋体" w:cs="宋体"/>
      <w:b/>
      <w:bCs/>
      <w:sz w:val="24"/>
      <w:szCs w:val="24"/>
    </w:rPr>
  </w:style>
  <w:style w:type="paragraph" w:styleId="18">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neea</Company>
  <Pages>10</Pages>
  <Words>6475</Words>
  <Characters>6592</Characters>
  <Lines>52</Lines>
  <Paragraphs>14</Paragraphs>
  <TotalTime>0</TotalTime>
  <ScaleCrop>false</ScaleCrop>
  <LinksUpToDate>false</LinksUpToDate>
  <CharactersWithSpaces>6746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2024-06-04T09:30:00Z</dcterms:created>
  <dc:creator>dell</dc:creator>
  <cp:lastModifiedBy>xinxin</cp:lastModifiedBy>
  <cp:lastPrinted>2009-09-21T07:22:00Z</cp:lastPrinted>
  <dcterms:modified xsi:type="dcterms:W3CDTF">2024-07-29T02:57:14Z</dcterms:modified>
  <dc:title>教育部2004年高校稳定工作会议第三组讨论情况汇报</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F61AA844D6E9450EB6256F0CC3D48F74_12</vt:lpwstr>
  </property>
</Properties>
</file>